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6FF374E" w14:textId="64A46A0E" w:rsidR="000B1823" w:rsidRPr="00CA6C0E" w:rsidRDefault="003F7CA2" w:rsidP="00FE0147">
      <w:pPr>
        <w:spacing w:before="1600" w:after="240" w:line="276" w:lineRule="auto"/>
        <w:jc w:val="center"/>
        <w:rPr>
          <w:rFonts w:ascii="Arial" w:hAnsi="Arial" w:cs="Arial"/>
          <w:b/>
          <w:bCs/>
          <w:sz w:val="20"/>
          <w:szCs w:val="20"/>
        </w:rPr>
      </w:pPr>
      <w:r>
        <w:rPr>
          <w:rFonts w:ascii="Arial" w:hAnsi="Arial" w:cs="Arial"/>
          <w:b/>
          <w:bCs/>
          <w:noProof/>
          <w:sz w:val="20"/>
          <w:szCs w:val="20"/>
        </w:rPr>
        <w:drawing>
          <wp:anchor distT="0" distB="0" distL="114300" distR="114300" simplePos="0" relativeHeight="251658240" behindDoc="1" locked="1" layoutInCell="1" allowOverlap="1" wp14:anchorId="12857FDE" wp14:editId="7ED39E22">
            <wp:simplePos x="0" y="0"/>
            <wp:positionH relativeFrom="page">
              <wp:posOffset>902970</wp:posOffset>
            </wp:positionH>
            <wp:positionV relativeFrom="page">
              <wp:posOffset>867410</wp:posOffset>
            </wp:positionV>
            <wp:extent cx="5759450" cy="313055"/>
            <wp:effectExtent l="0" t="0" r="0" b="0"/>
            <wp:wrapNone/>
            <wp:docPr id="1737789916" name="Obrázek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37789916" name=""/>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59450" cy="313055"/>
                    </a:xfrm>
                    <a:prstGeom prst="rect">
                      <a:avLst/>
                    </a:prstGeom>
                  </pic:spPr>
                </pic:pic>
              </a:graphicData>
            </a:graphic>
            <wp14:sizeRelH relativeFrom="margin">
              <wp14:pctWidth>0</wp14:pctWidth>
            </wp14:sizeRelH>
            <wp14:sizeRelV relativeFrom="margin">
              <wp14:pctHeight>0</wp14:pctHeight>
            </wp14:sizeRelV>
          </wp:anchor>
        </w:drawing>
      </w:r>
      <w:r w:rsidR="00FE0147">
        <w:rPr>
          <w:rFonts w:ascii="Arial" w:hAnsi="Arial" w:cs="Arial"/>
          <w:b/>
          <w:bCs/>
          <w:sz w:val="20"/>
          <w:szCs w:val="20"/>
        </w:rPr>
        <w:t xml:space="preserve">Odůvodnění </w:t>
      </w:r>
      <w:r w:rsidR="000B1823" w:rsidRPr="00CA6C0E">
        <w:rPr>
          <w:rFonts w:ascii="Arial" w:hAnsi="Arial" w:cs="Arial"/>
          <w:b/>
          <w:bCs/>
          <w:sz w:val="20"/>
          <w:szCs w:val="20"/>
        </w:rPr>
        <w:t xml:space="preserve">Opatření obecné povahy </w:t>
      </w:r>
      <w:r w:rsidR="00FE0147">
        <w:rPr>
          <w:rFonts w:ascii="Arial" w:hAnsi="Arial" w:cs="Arial"/>
          <w:b/>
          <w:bCs/>
          <w:sz w:val="20"/>
          <w:szCs w:val="20"/>
        </w:rPr>
        <w:t>pro akcelerační oblast AOV25 Zahrádka</w:t>
      </w:r>
    </w:p>
    <w:p w14:paraId="7E2FEC61" w14:textId="38947757" w:rsidR="00D13C07" w:rsidRPr="00CA6C0E" w:rsidRDefault="00653008" w:rsidP="00A04ECB">
      <w:pPr>
        <w:spacing w:before="120" w:after="120" w:line="276" w:lineRule="auto"/>
        <w:jc w:val="both"/>
        <w:rPr>
          <w:rFonts w:ascii="Arial" w:hAnsi="Arial" w:cs="Arial"/>
          <w:b/>
          <w:bCs/>
          <w:sz w:val="20"/>
          <w:szCs w:val="20"/>
        </w:rPr>
      </w:pPr>
      <w:r w:rsidRPr="00CA6C0E">
        <w:rPr>
          <w:rFonts w:ascii="Arial" w:hAnsi="Arial" w:cs="Arial"/>
          <w:sz w:val="20"/>
          <w:szCs w:val="20"/>
        </w:rPr>
        <w:t xml:space="preserve">Územní opatření se vztahuje k akcelerační oblasti </w:t>
      </w:r>
      <w:r w:rsidR="006F5928" w:rsidRPr="00E858A9">
        <w:rPr>
          <w:rFonts w:ascii="Arial" w:hAnsi="Arial" w:cs="Arial"/>
          <w:b/>
          <w:bCs/>
          <w:sz w:val="20"/>
          <w:szCs w:val="20"/>
        </w:rPr>
        <w:t>AO</w:t>
      </w:r>
      <w:r w:rsidR="00B44BA9" w:rsidRPr="00E858A9">
        <w:rPr>
          <w:rFonts w:ascii="Arial" w:hAnsi="Arial" w:cs="Arial"/>
          <w:b/>
          <w:bCs/>
          <w:sz w:val="20"/>
          <w:szCs w:val="20"/>
        </w:rPr>
        <w:t>V</w:t>
      </w:r>
      <w:r w:rsidR="00D14BED" w:rsidRPr="00E858A9">
        <w:rPr>
          <w:rFonts w:ascii="Arial" w:hAnsi="Arial" w:cs="Arial"/>
          <w:b/>
          <w:bCs/>
          <w:sz w:val="20"/>
          <w:szCs w:val="20"/>
        </w:rPr>
        <w:t>25</w:t>
      </w:r>
      <w:r w:rsidR="00D06E79" w:rsidRPr="00E858A9">
        <w:rPr>
          <w:rFonts w:ascii="Arial" w:hAnsi="Arial" w:cs="Arial"/>
          <w:b/>
          <w:bCs/>
          <w:sz w:val="20"/>
          <w:szCs w:val="20"/>
        </w:rPr>
        <w:t xml:space="preserve"> </w:t>
      </w:r>
      <w:r w:rsidR="00D14BED" w:rsidRPr="00E858A9">
        <w:rPr>
          <w:rFonts w:ascii="Arial" w:hAnsi="Arial" w:cs="Arial"/>
          <w:b/>
          <w:bCs/>
          <w:sz w:val="20"/>
          <w:szCs w:val="20"/>
        </w:rPr>
        <w:t>Zahrádka</w:t>
      </w:r>
      <w:r w:rsidRPr="00CA6C0E">
        <w:rPr>
          <w:rFonts w:ascii="Arial" w:hAnsi="Arial" w:cs="Arial"/>
          <w:sz w:val="20"/>
          <w:szCs w:val="20"/>
        </w:rPr>
        <w:t xml:space="preserve">, vymezené </w:t>
      </w:r>
      <w:r w:rsidR="006F5928" w:rsidRPr="00CA6C0E">
        <w:rPr>
          <w:rFonts w:ascii="Arial" w:hAnsi="Arial" w:cs="Arial"/>
          <w:sz w:val="20"/>
          <w:szCs w:val="20"/>
        </w:rPr>
        <w:t>ve Změně č.</w:t>
      </w:r>
      <w:r w:rsidR="00D06E79" w:rsidRPr="00CA6C0E">
        <w:rPr>
          <w:rFonts w:ascii="Arial" w:hAnsi="Arial" w:cs="Arial"/>
          <w:sz w:val="20"/>
          <w:szCs w:val="20"/>
        </w:rPr>
        <w:t> </w:t>
      </w:r>
      <w:r w:rsidR="006F5928" w:rsidRPr="00CA6C0E">
        <w:rPr>
          <w:rFonts w:ascii="Arial" w:hAnsi="Arial" w:cs="Arial"/>
          <w:sz w:val="20"/>
          <w:szCs w:val="20"/>
        </w:rPr>
        <w:t>2 územního rozvojového plánu</w:t>
      </w:r>
      <w:r w:rsidRPr="00CA6C0E">
        <w:rPr>
          <w:rFonts w:ascii="Arial" w:hAnsi="Arial" w:cs="Arial"/>
          <w:sz w:val="20"/>
          <w:szCs w:val="20"/>
        </w:rPr>
        <w:t>.</w:t>
      </w:r>
      <w:r w:rsidR="00334780" w:rsidRPr="00CA6C0E">
        <w:rPr>
          <w:rFonts w:ascii="Arial" w:hAnsi="Arial" w:cs="Arial"/>
          <w:sz w:val="20"/>
          <w:szCs w:val="20"/>
        </w:rPr>
        <w:t xml:space="preserve"> </w:t>
      </w:r>
      <w:r w:rsidR="00D13C07" w:rsidRPr="00CA6C0E">
        <w:rPr>
          <w:rFonts w:ascii="Arial" w:hAnsi="Arial" w:cs="Arial"/>
          <w:sz w:val="20"/>
          <w:szCs w:val="20"/>
        </w:rPr>
        <w:t xml:space="preserve">Územní opatření </w:t>
      </w:r>
      <w:r w:rsidR="00906CD1" w:rsidRPr="00CA6C0E">
        <w:rPr>
          <w:rFonts w:ascii="Arial" w:hAnsi="Arial" w:cs="Arial"/>
          <w:sz w:val="20"/>
          <w:szCs w:val="20"/>
        </w:rPr>
        <w:t>proto stanoví podmínky a zmírňující opatření pro výrobu energie z</w:t>
      </w:r>
      <w:r w:rsidR="005B39AF" w:rsidRPr="00CA6C0E">
        <w:rPr>
          <w:rFonts w:ascii="Arial" w:hAnsi="Arial" w:cs="Arial"/>
          <w:sz w:val="20"/>
          <w:szCs w:val="20"/>
        </w:rPr>
        <w:t xml:space="preserve"> energie </w:t>
      </w:r>
      <w:r w:rsidR="00906CD1" w:rsidRPr="00CA6C0E">
        <w:rPr>
          <w:rFonts w:ascii="Arial" w:hAnsi="Arial" w:cs="Arial"/>
          <w:sz w:val="20"/>
          <w:szCs w:val="20"/>
        </w:rPr>
        <w:t>větru</w:t>
      </w:r>
      <w:r w:rsidR="00D13C07" w:rsidRPr="00CA6C0E">
        <w:rPr>
          <w:rFonts w:ascii="Arial" w:hAnsi="Arial" w:cs="Arial"/>
          <w:sz w:val="20"/>
          <w:szCs w:val="20"/>
        </w:rPr>
        <w:t>.</w:t>
      </w:r>
      <w:r w:rsidR="00922192" w:rsidRPr="00CA6C0E">
        <w:rPr>
          <w:rFonts w:ascii="Arial" w:hAnsi="Arial" w:cs="Arial"/>
          <w:sz w:val="20"/>
          <w:szCs w:val="20"/>
        </w:rPr>
        <w:t xml:space="preserve"> </w:t>
      </w:r>
      <w:r w:rsidR="00922192" w:rsidRPr="00CA6C0E">
        <w:rPr>
          <w:rFonts w:ascii="Arial" w:hAnsi="Arial" w:cs="Arial"/>
          <w:b/>
          <w:bCs/>
          <w:sz w:val="20"/>
          <w:szCs w:val="20"/>
        </w:rPr>
        <w:t xml:space="preserve">Důvody vymezení akcelerační oblasti v daném místě a pro daný typ obnovitelného zdroje jsou popsány v odůvodnění </w:t>
      </w:r>
      <w:r w:rsidR="00E569BB" w:rsidRPr="00CA6C0E">
        <w:rPr>
          <w:rFonts w:ascii="Arial" w:hAnsi="Arial" w:cs="Arial"/>
          <w:b/>
          <w:bCs/>
          <w:sz w:val="20"/>
          <w:szCs w:val="20"/>
        </w:rPr>
        <w:t xml:space="preserve">Změny </w:t>
      </w:r>
      <w:r w:rsidR="00922192" w:rsidRPr="00CA6C0E">
        <w:rPr>
          <w:rFonts w:ascii="Arial" w:hAnsi="Arial" w:cs="Arial"/>
          <w:b/>
          <w:bCs/>
          <w:sz w:val="20"/>
          <w:szCs w:val="20"/>
        </w:rPr>
        <w:t xml:space="preserve">č. 2 </w:t>
      </w:r>
      <w:r w:rsidR="006F5928" w:rsidRPr="00CA6C0E">
        <w:rPr>
          <w:rFonts w:ascii="Arial" w:hAnsi="Arial" w:cs="Arial"/>
          <w:b/>
          <w:bCs/>
          <w:sz w:val="20"/>
          <w:szCs w:val="20"/>
        </w:rPr>
        <w:t>územního rozvojového plánu</w:t>
      </w:r>
      <w:r w:rsidR="00922192" w:rsidRPr="00CA6C0E">
        <w:rPr>
          <w:rFonts w:ascii="Arial" w:hAnsi="Arial" w:cs="Arial"/>
          <w:b/>
          <w:bCs/>
          <w:sz w:val="20"/>
          <w:szCs w:val="20"/>
        </w:rPr>
        <w:t>.</w:t>
      </w:r>
    </w:p>
    <w:p w14:paraId="26627079" w14:textId="08FC6531" w:rsidR="00F94E19" w:rsidRPr="00CA6C0E" w:rsidRDefault="00F94E19" w:rsidP="00A04ECB">
      <w:pPr>
        <w:spacing w:before="120" w:after="120" w:line="276" w:lineRule="auto"/>
        <w:jc w:val="both"/>
        <w:rPr>
          <w:rFonts w:ascii="Arial" w:hAnsi="Arial" w:cs="Arial"/>
          <w:sz w:val="20"/>
          <w:szCs w:val="20"/>
        </w:rPr>
      </w:pPr>
      <w:r w:rsidRPr="00CA6C0E">
        <w:rPr>
          <w:rFonts w:ascii="Arial" w:hAnsi="Arial" w:cs="Arial"/>
          <w:sz w:val="20"/>
          <w:szCs w:val="20"/>
        </w:rPr>
        <w:t xml:space="preserve">Rozloha akcelerační oblasti </w:t>
      </w:r>
      <w:r w:rsidRPr="00DF61C9">
        <w:rPr>
          <w:rFonts w:ascii="Arial" w:hAnsi="Arial" w:cs="Arial"/>
          <w:sz w:val="20"/>
          <w:szCs w:val="20"/>
        </w:rPr>
        <w:t xml:space="preserve">je </w:t>
      </w:r>
      <w:r w:rsidR="00F92F2B" w:rsidRPr="003A55A6">
        <w:rPr>
          <w:rFonts w:ascii="Arial" w:hAnsi="Arial" w:cs="Arial"/>
          <w:sz w:val="20"/>
          <w:szCs w:val="20"/>
        </w:rPr>
        <w:t>2</w:t>
      </w:r>
      <w:r w:rsidR="00F92F2B">
        <w:rPr>
          <w:rFonts w:ascii="Arial" w:hAnsi="Arial" w:cs="Arial"/>
          <w:sz w:val="20"/>
          <w:szCs w:val="20"/>
        </w:rPr>
        <w:t>78</w:t>
      </w:r>
      <w:r w:rsidR="002522DC" w:rsidRPr="003A55A6">
        <w:rPr>
          <w:rFonts w:ascii="Arial" w:hAnsi="Arial" w:cs="Arial"/>
          <w:sz w:val="20"/>
          <w:szCs w:val="20"/>
        </w:rPr>
        <w:t>,</w:t>
      </w:r>
      <w:r w:rsidR="00F92F2B">
        <w:rPr>
          <w:rFonts w:ascii="Arial" w:hAnsi="Arial" w:cs="Arial"/>
          <w:sz w:val="20"/>
          <w:szCs w:val="20"/>
        </w:rPr>
        <w:t>5</w:t>
      </w:r>
      <w:r w:rsidR="00F92F2B" w:rsidRPr="003A55A6">
        <w:rPr>
          <w:rFonts w:ascii="Arial" w:hAnsi="Arial" w:cs="Arial"/>
          <w:sz w:val="20"/>
          <w:szCs w:val="20"/>
        </w:rPr>
        <w:t xml:space="preserve"> </w:t>
      </w:r>
      <w:r w:rsidRPr="003A55A6">
        <w:rPr>
          <w:rFonts w:ascii="Arial" w:hAnsi="Arial" w:cs="Arial"/>
          <w:sz w:val="20"/>
          <w:szCs w:val="20"/>
        </w:rPr>
        <w:t>ha</w:t>
      </w:r>
      <w:r w:rsidR="00B7044A" w:rsidRPr="003A55A6">
        <w:rPr>
          <w:rFonts w:ascii="Arial" w:hAnsi="Arial" w:cs="Arial"/>
          <w:sz w:val="20"/>
          <w:szCs w:val="20"/>
        </w:rPr>
        <w:t xml:space="preserve"> (</w:t>
      </w:r>
      <w:r w:rsidR="00D14BED" w:rsidRPr="003A55A6">
        <w:rPr>
          <w:rFonts w:ascii="Arial" w:hAnsi="Arial" w:cs="Arial"/>
          <w:sz w:val="20"/>
          <w:szCs w:val="20"/>
        </w:rPr>
        <w:t>2</w:t>
      </w:r>
      <w:r w:rsidR="00D06E79" w:rsidRPr="003A55A6">
        <w:rPr>
          <w:rFonts w:ascii="Arial" w:hAnsi="Arial" w:cs="Arial"/>
          <w:sz w:val="20"/>
          <w:szCs w:val="20"/>
        </w:rPr>
        <w:t>,</w:t>
      </w:r>
      <w:r w:rsidR="00DF61C9" w:rsidRPr="003A55A6">
        <w:rPr>
          <w:rFonts w:ascii="Arial" w:hAnsi="Arial" w:cs="Arial"/>
          <w:sz w:val="20"/>
          <w:szCs w:val="20"/>
        </w:rPr>
        <w:t xml:space="preserve">8 </w:t>
      </w:r>
      <w:r w:rsidR="00B7044A" w:rsidRPr="003A55A6">
        <w:rPr>
          <w:rFonts w:ascii="Arial" w:hAnsi="Arial" w:cs="Arial"/>
          <w:sz w:val="20"/>
          <w:szCs w:val="20"/>
        </w:rPr>
        <w:t>km</w:t>
      </w:r>
      <w:r w:rsidR="00B7044A" w:rsidRPr="003A55A6">
        <w:rPr>
          <w:rFonts w:ascii="Arial" w:hAnsi="Arial" w:cs="Arial"/>
          <w:sz w:val="20"/>
          <w:szCs w:val="20"/>
          <w:vertAlign w:val="superscript"/>
        </w:rPr>
        <w:t>2</w:t>
      </w:r>
      <w:r w:rsidR="00B7044A" w:rsidRPr="003A55A6">
        <w:rPr>
          <w:rFonts w:ascii="Arial" w:hAnsi="Arial" w:cs="Arial"/>
          <w:sz w:val="20"/>
          <w:szCs w:val="20"/>
        </w:rPr>
        <w:t>)</w:t>
      </w:r>
      <w:r w:rsidRPr="00DF61C9">
        <w:rPr>
          <w:rFonts w:ascii="Arial" w:hAnsi="Arial" w:cs="Arial"/>
          <w:sz w:val="20"/>
          <w:szCs w:val="20"/>
        </w:rPr>
        <w:t xml:space="preserve"> a</w:t>
      </w:r>
      <w:r w:rsidRPr="00CA6C0E">
        <w:rPr>
          <w:rFonts w:ascii="Arial" w:hAnsi="Arial" w:cs="Arial"/>
          <w:sz w:val="20"/>
          <w:szCs w:val="20"/>
        </w:rPr>
        <w:t xml:space="preserve"> odhadovaný maximální celkový instalovaný výkon záměrů pro využití obnovitelného </w:t>
      </w:r>
      <w:r w:rsidR="00D303E4" w:rsidRPr="00CA6C0E">
        <w:rPr>
          <w:rFonts w:ascii="Arial" w:hAnsi="Arial" w:cs="Arial"/>
          <w:sz w:val="20"/>
          <w:szCs w:val="20"/>
        </w:rPr>
        <w:t>zdroje – energie</w:t>
      </w:r>
      <w:r w:rsidRPr="00CA6C0E">
        <w:rPr>
          <w:rFonts w:ascii="Arial" w:hAnsi="Arial" w:cs="Arial"/>
          <w:sz w:val="20"/>
          <w:szCs w:val="20"/>
        </w:rPr>
        <w:t xml:space="preserve"> větru umístitelných v této akcelerační oblasti je </w:t>
      </w:r>
      <w:r w:rsidR="00DF61C9">
        <w:rPr>
          <w:rFonts w:ascii="Arial" w:hAnsi="Arial" w:cs="Arial"/>
          <w:sz w:val="20"/>
          <w:szCs w:val="20"/>
        </w:rPr>
        <w:t>28,0 </w:t>
      </w:r>
      <w:r w:rsidRPr="00CA6C0E">
        <w:rPr>
          <w:rFonts w:ascii="Arial" w:hAnsi="Arial" w:cs="Arial"/>
          <w:sz w:val="20"/>
          <w:szCs w:val="20"/>
        </w:rPr>
        <w:t>MW.</w:t>
      </w:r>
      <w:r w:rsidR="00E848E0" w:rsidRPr="00CA6C0E">
        <w:rPr>
          <w:rFonts w:ascii="Arial" w:hAnsi="Arial" w:cs="Arial"/>
          <w:sz w:val="20"/>
          <w:szCs w:val="20"/>
        </w:rPr>
        <w:t xml:space="preserve"> To znamená, že se </w:t>
      </w:r>
      <w:r w:rsidR="008457EB" w:rsidRPr="00CA6C0E">
        <w:rPr>
          <w:rFonts w:ascii="Arial" w:hAnsi="Arial" w:cs="Arial"/>
          <w:sz w:val="20"/>
          <w:szCs w:val="20"/>
        </w:rPr>
        <w:t>odhaduje</w:t>
      </w:r>
      <w:r w:rsidR="00E848E0" w:rsidRPr="00CA6C0E">
        <w:rPr>
          <w:rFonts w:ascii="Arial" w:hAnsi="Arial" w:cs="Arial"/>
          <w:sz w:val="20"/>
          <w:szCs w:val="20"/>
        </w:rPr>
        <w:t xml:space="preserve">, že záměry </w:t>
      </w:r>
      <w:r w:rsidR="008457EB" w:rsidRPr="00CA6C0E">
        <w:rPr>
          <w:rFonts w:ascii="Arial" w:hAnsi="Arial" w:cs="Arial"/>
          <w:sz w:val="20"/>
          <w:szCs w:val="20"/>
        </w:rPr>
        <w:t xml:space="preserve">OZE umístitelné v dané akcelerační oblasti mohou při optimálních podmínkách vyvinout špičkový elektrický výkon </w:t>
      </w:r>
      <w:r w:rsidR="00DF61C9">
        <w:rPr>
          <w:rFonts w:ascii="Arial" w:hAnsi="Arial" w:cs="Arial"/>
          <w:sz w:val="20"/>
          <w:szCs w:val="20"/>
        </w:rPr>
        <w:t>28,0 </w:t>
      </w:r>
      <w:proofErr w:type="spellStart"/>
      <w:r w:rsidR="008457EB" w:rsidRPr="00CA6C0E">
        <w:rPr>
          <w:rFonts w:ascii="Arial" w:hAnsi="Arial" w:cs="Arial"/>
          <w:sz w:val="20"/>
          <w:szCs w:val="20"/>
        </w:rPr>
        <w:t>MWp</w:t>
      </w:r>
      <w:proofErr w:type="spellEnd"/>
      <w:r w:rsidR="008457EB" w:rsidRPr="00CA6C0E">
        <w:rPr>
          <w:rFonts w:ascii="Arial" w:hAnsi="Arial" w:cs="Arial"/>
          <w:sz w:val="20"/>
          <w:szCs w:val="20"/>
        </w:rPr>
        <w:t xml:space="preserve"> (</w:t>
      </w:r>
      <w:proofErr w:type="spellStart"/>
      <w:r w:rsidR="008457EB" w:rsidRPr="00CA6C0E">
        <w:rPr>
          <w:rFonts w:ascii="Arial" w:hAnsi="Arial" w:cs="Arial"/>
          <w:sz w:val="20"/>
          <w:szCs w:val="20"/>
        </w:rPr>
        <w:t>megawattpeak</w:t>
      </w:r>
      <w:proofErr w:type="spellEnd"/>
      <w:r w:rsidR="008457EB" w:rsidRPr="00CA6C0E">
        <w:rPr>
          <w:rFonts w:ascii="Arial" w:hAnsi="Arial" w:cs="Arial"/>
          <w:sz w:val="20"/>
          <w:szCs w:val="20"/>
        </w:rPr>
        <w:t>).</w:t>
      </w:r>
    </w:p>
    <w:p w14:paraId="6C94BAB4" w14:textId="37BCB3CA" w:rsidR="00F94E19" w:rsidRPr="00CA6C0E" w:rsidRDefault="00F94E19" w:rsidP="00A04ECB">
      <w:pPr>
        <w:spacing w:before="120" w:after="120" w:line="276" w:lineRule="auto"/>
        <w:jc w:val="both"/>
        <w:rPr>
          <w:rFonts w:ascii="Arial" w:hAnsi="Arial" w:cs="Arial"/>
          <w:sz w:val="20"/>
          <w:szCs w:val="20"/>
        </w:rPr>
      </w:pPr>
      <w:r w:rsidRPr="00CA6C0E">
        <w:rPr>
          <w:rFonts w:ascii="Arial" w:hAnsi="Arial" w:cs="Arial"/>
          <w:sz w:val="20"/>
          <w:szCs w:val="20"/>
        </w:rPr>
        <w:t xml:space="preserve">Odhadovaný maximální celkový instalovaný výkon byl určen expertně na základě předpokládaného počtu věží větrných elektráren umístitelných při respektování stanovených podmínek a zmírňujících opatření a při technologicky vhodných rozestupech mezi jednotlivými věžemi do akcelerační oblasti, korekce počtu věží na základě předpokládané neefektivity jednotlivých záměrů a odhadovaného </w:t>
      </w:r>
      <w:r w:rsidR="008A305E" w:rsidRPr="00CA6C0E">
        <w:rPr>
          <w:rFonts w:ascii="Arial" w:hAnsi="Arial" w:cs="Arial"/>
          <w:sz w:val="20"/>
          <w:szCs w:val="20"/>
        </w:rPr>
        <w:t xml:space="preserve">maximálního </w:t>
      </w:r>
      <w:r w:rsidRPr="00CA6C0E">
        <w:rPr>
          <w:rFonts w:ascii="Arial" w:hAnsi="Arial" w:cs="Arial"/>
          <w:sz w:val="20"/>
          <w:szCs w:val="20"/>
        </w:rPr>
        <w:t xml:space="preserve">instalovaného výkonu jednotlivých věží vycházejícího z možností současných technologií. Odhadovaný </w:t>
      </w:r>
      <w:r w:rsidR="008A305E" w:rsidRPr="00CA6C0E">
        <w:rPr>
          <w:rFonts w:ascii="Arial" w:hAnsi="Arial" w:cs="Arial"/>
          <w:sz w:val="20"/>
          <w:szCs w:val="20"/>
        </w:rPr>
        <w:t xml:space="preserve">maximální celkový instalovaný výkon </w:t>
      </w:r>
      <w:r w:rsidRPr="00CA6C0E">
        <w:rPr>
          <w:rFonts w:ascii="Arial" w:hAnsi="Arial" w:cs="Arial"/>
          <w:sz w:val="20"/>
          <w:szCs w:val="20"/>
        </w:rPr>
        <w:t xml:space="preserve">je vyjádřen vztahem </w:t>
      </w:r>
      <w:proofErr w:type="spellStart"/>
      <w:r w:rsidRPr="00CA6C0E">
        <w:rPr>
          <w:rFonts w:ascii="Arial" w:hAnsi="Arial" w:cs="Arial"/>
          <w:sz w:val="20"/>
          <w:szCs w:val="20"/>
        </w:rPr>
        <w:t>P</w:t>
      </w:r>
      <w:r w:rsidRPr="00CA6C0E">
        <w:rPr>
          <w:rFonts w:ascii="Arial" w:hAnsi="Arial" w:cs="Arial"/>
          <w:sz w:val="20"/>
          <w:szCs w:val="20"/>
          <w:vertAlign w:val="subscript"/>
        </w:rPr>
        <w:t>odh</w:t>
      </w:r>
      <w:proofErr w:type="spellEnd"/>
      <w:r w:rsidRPr="00CA6C0E">
        <w:rPr>
          <w:rFonts w:ascii="Arial" w:hAnsi="Arial" w:cs="Arial"/>
          <w:sz w:val="20"/>
          <w:szCs w:val="20"/>
        </w:rPr>
        <w:t xml:space="preserve"> [MW] = </w:t>
      </w:r>
      <w:proofErr w:type="spellStart"/>
      <w:r w:rsidRPr="00CA6C0E">
        <w:rPr>
          <w:rFonts w:ascii="Arial" w:hAnsi="Arial" w:cs="Arial"/>
          <w:sz w:val="20"/>
          <w:szCs w:val="20"/>
        </w:rPr>
        <w:t>n</w:t>
      </w:r>
      <w:r w:rsidRPr="00CA6C0E">
        <w:rPr>
          <w:rFonts w:ascii="Arial" w:hAnsi="Arial" w:cs="Arial"/>
          <w:sz w:val="20"/>
          <w:szCs w:val="20"/>
          <w:vertAlign w:val="subscript"/>
        </w:rPr>
        <w:t>věž</w:t>
      </w:r>
      <w:proofErr w:type="spellEnd"/>
      <w:r w:rsidRPr="00CA6C0E">
        <w:rPr>
          <w:rFonts w:ascii="Arial" w:hAnsi="Arial" w:cs="Arial"/>
          <w:sz w:val="20"/>
          <w:szCs w:val="20"/>
        </w:rPr>
        <w:t xml:space="preserve"> </w:t>
      </w:r>
      <w:r w:rsidR="00302F28" w:rsidRPr="00E34D49">
        <w:rPr>
          <w:rFonts w:ascii="Arial" w:eastAsia="Symbol" w:hAnsi="Arial" w:cs="Arial"/>
          <w:sz w:val="20"/>
          <w:szCs w:val="20"/>
        </w:rPr>
        <w:t>×</w:t>
      </w:r>
      <w:r w:rsidR="00302F28" w:rsidRPr="00CA6C0E">
        <w:rPr>
          <w:rFonts w:ascii="Arial" w:hAnsi="Arial" w:cs="Arial"/>
          <w:sz w:val="20"/>
          <w:szCs w:val="20"/>
        </w:rPr>
        <w:t> </w:t>
      </w:r>
      <w:proofErr w:type="spellStart"/>
      <w:r w:rsidRPr="00CA6C0E">
        <w:rPr>
          <w:rFonts w:ascii="Arial" w:hAnsi="Arial" w:cs="Arial"/>
          <w:sz w:val="20"/>
          <w:szCs w:val="20"/>
        </w:rPr>
        <w:t>k</w:t>
      </w:r>
      <w:r w:rsidRPr="00CA6C0E">
        <w:rPr>
          <w:rFonts w:ascii="Arial" w:hAnsi="Arial" w:cs="Arial"/>
          <w:sz w:val="20"/>
          <w:szCs w:val="20"/>
          <w:vertAlign w:val="subscript"/>
        </w:rPr>
        <w:t>neef</w:t>
      </w:r>
      <w:proofErr w:type="spellEnd"/>
      <w:r w:rsidRPr="00CA6C0E">
        <w:rPr>
          <w:rFonts w:ascii="Arial" w:hAnsi="Arial" w:cs="Arial"/>
          <w:sz w:val="20"/>
          <w:szCs w:val="20"/>
        </w:rPr>
        <w:t xml:space="preserve"> </w:t>
      </w:r>
      <w:r w:rsidR="00302F28" w:rsidRPr="00E34D49">
        <w:rPr>
          <w:rFonts w:ascii="Arial" w:eastAsia="Symbol" w:hAnsi="Arial" w:cs="Arial"/>
          <w:sz w:val="20"/>
          <w:szCs w:val="20"/>
        </w:rPr>
        <w:t>×</w:t>
      </w:r>
      <w:r w:rsidR="00302F28" w:rsidRPr="00CA6C0E">
        <w:rPr>
          <w:rFonts w:ascii="Arial" w:hAnsi="Arial" w:cs="Arial"/>
          <w:sz w:val="20"/>
          <w:szCs w:val="20"/>
        </w:rPr>
        <w:t> </w:t>
      </w:r>
      <w:proofErr w:type="spellStart"/>
      <w:r w:rsidRPr="00CA6C0E">
        <w:rPr>
          <w:rFonts w:ascii="Arial" w:hAnsi="Arial" w:cs="Arial"/>
          <w:sz w:val="20"/>
          <w:szCs w:val="20"/>
        </w:rPr>
        <w:t>P</w:t>
      </w:r>
      <w:r w:rsidRPr="00CA6C0E">
        <w:rPr>
          <w:rFonts w:ascii="Arial" w:hAnsi="Arial" w:cs="Arial"/>
          <w:sz w:val="20"/>
          <w:szCs w:val="20"/>
          <w:vertAlign w:val="subscript"/>
        </w:rPr>
        <w:t>věž</w:t>
      </w:r>
      <w:proofErr w:type="spellEnd"/>
      <w:r w:rsidRPr="00CA6C0E">
        <w:rPr>
          <w:rFonts w:ascii="Arial" w:hAnsi="Arial" w:cs="Arial"/>
          <w:sz w:val="20"/>
          <w:szCs w:val="20"/>
        </w:rPr>
        <w:t xml:space="preserve"> [MW], kde:</w:t>
      </w:r>
    </w:p>
    <w:p w14:paraId="20CB8646" w14:textId="3D0AB445" w:rsidR="00F94E19" w:rsidRPr="00CA6C0E" w:rsidRDefault="00F94E19" w:rsidP="00A04ECB">
      <w:pPr>
        <w:spacing w:after="60" w:line="276" w:lineRule="auto"/>
        <w:jc w:val="both"/>
        <w:rPr>
          <w:rFonts w:ascii="Arial" w:hAnsi="Arial" w:cs="Arial"/>
          <w:sz w:val="20"/>
          <w:szCs w:val="20"/>
        </w:rPr>
      </w:pPr>
      <w:proofErr w:type="spellStart"/>
      <w:r w:rsidRPr="00CA6C0E">
        <w:rPr>
          <w:rFonts w:ascii="Arial" w:hAnsi="Arial" w:cs="Arial"/>
          <w:sz w:val="20"/>
          <w:szCs w:val="20"/>
        </w:rPr>
        <w:t>P</w:t>
      </w:r>
      <w:r w:rsidRPr="00CA6C0E">
        <w:rPr>
          <w:rFonts w:ascii="Arial" w:hAnsi="Arial" w:cs="Arial"/>
          <w:sz w:val="20"/>
          <w:szCs w:val="20"/>
          <w:vertAlign w:val="subscript"/>
        </w:rPr>
        <w:t>odh</w:t>
      </w:r>
      <w:proofErr w:type="spellEnd"/>
      <w:r w:rsidRPr="00CA6C0E">
        <w:rPr>
          <w:rFonts w:ascii="Arial" w:hAnsi="Arial" w:cs="Arial"/>
          <w:sz w:val="20"/>
          <w:szCs w:val="20"/>
        </w:rPr>
        <w:t xml:space="preserve"> je odhadovaný maximální celkový instalovaný výkon záměrů umístitelných v akcelerační oblasti, vyjádřený v MW;</w:t>
      </w:r>
    </w:p>
    <w:p w14:paraId="3AEB0113" w14:textId="6FEDCE1D" w:rsidR="00F94E19" w:rsidRPr="00CA6C0E" w:rsidRDefault="00F94E19" w:rsidP="00A04ECB">
      <w:pPr>
        <w:spacing w:after="60" w:line="276" w:lineRule="auto"/>
        <w:jc w:val="both"/>
        <w:rPr>
          <w:rFonts w:ascii="Arial" w:hAnsi="Arial" w:cs="Arial"/>
          <w:sz w:val="20"/>
          <w:szCs w:val="20"/>
        </w:rPr>
      </w:pPr>
      <w:proofErr w:type="spellStart"/>
      <w:r w:rsidRPr="00CA6C0E">
        <w:rPr>
          <w:rFonts w:ascii="Arial" w:hAnsi="Arial" w:cs="Arial"/>
          <w:sz w:val="20"/>
          <w:szCs w:val="20"/>
        </w:rPr>
        <w:t>n</w:t>
      </w:r>
      <w:r w:rsidRPr="00CA6C0E">
        <w:rPr>
          <w:rFonts w:ascii="Arial" w:hAnsi="Arial" w:cs="Arial"/>
          <w:sz w:val="20"/>
          <w:szCs w:val="20"/>
          <w:vertAlign w:val="subscript"/>
        </w:rPr>
        <w:t>věž</w:t>
      </w:r>
      <w:proofErr w:type="spellEnd"/>
      <w:r w:rsidRPr="00CA6C0E">
        <w:rPr>
          <w:rFonts w:ascii="Arial" w:hAnsi="Arial" w:cs="Arial"/>
          <w:sz w:val="20"/>
          <w:szCs w:val="20"/>
        </w:rPr>
        <w:t xml:space="preserve"> je počet věží větrných elektráren, které lze prostorově distribuovat v daném území při vynechání těch částí akcelerační oblasti, pro něž umístění věží zapovídají stanovené podmínky a zmírňující opatření, a při dodržení vhodného rozestupu mezi věžemi, který byl pro účely odhadu stanoven na</w:t>
      </w:r>
      <w:r w:rsidR="00154A49">
        <w:rPr>
          <w:rFonts w:ascii="Arial" w:hAnsi="Arial" w:cs="Arial"/>
          <w:sz w:val="20"/>
          <w:szCs w:val="20"/>
        </w:rPr>
        <w:t> </w:t>
      </w:r>
      <w:r w:rsidR="008A305E" w:rsidRPr="00CA6C0E">
        <w:rPr>
          <w:rFonts w:ascii="Arial" w:hAnsi="Arial" w:cs="Arial"/>
          <w:sz w:val="20"/>
          <w:szCs w:val="20"/>
        </w:rPr>
        <w:t>minimálně</w:t>
      </w:r>
      <w:r w:rsidRPr="00CA6C0E">
        <w:rPr>
          <w:rFonts w:ascii="Arial" w:hAnsi="Arial" w:cs="Arial"/>
          <w:sz w:val="20"/>
          <w:szCs w:val="20"/>
        </w:rPr>
        <w:t xml:space="preserve"> </w:t>
      </w:r>
      <w:r w:rsidR="00314B6E" w:rsidRPr="00CA6C0E">
        <w:rPr>
          <w:rFonts w:ascii="Arial" w:hAnsi="Arial" w:cs="Arial"/>
          <w:sz w:val="20"/>
          <w:szCs w:val="20"/>
        </w:rPr>
        <w:t>75</w:t>
      </w:r>
      <w:r w:rsidRPr="00CA6C0E">
        <w:rPr>
          <w:rFonts w:ascii="Arial" w:hAnsi="Arial" w:cs="Arial"/>
          <w:sz w:val="20"/>
          <w:szCs w:val="20"/>
        </w:rPr>
        <w:t>0 m</w:t>
      </w:r>
      <w:r w:rsidR="00314B6E" w:rsidRPr="00CA6C0E">
        <w:rPr>
          <w:rFonts w:ascii="Arial" w:hAnsi="Arial" w:cs="Arial"/>
          <w:sz w:val="20"/>
          <w:szCs w:val="20"/>
        </w:rPr>
        <w:t>, což odpovídá cca pětinásobku průměru rotoru velké větrné elektrárny (běžný průměr rotoru je cca 140–160 m)</w:t>
      </w:r>
      <w:r w:rsidRPr="00CA6C0E">
        <w:rPr>
          <w:rFonts w:ascii="Arial" w:hAnsi="Arial" w:cs="Arial"/>
          <w:sz w:val="20"/>
          <w:szCs w:val="20"/>
        </w:rPr>
        <w:t xml:space="preserve">; pracovně byly prověřeny různé varianty rozmístění věží větrných elektráren v akcelerační oblasti s největším dosaženým počtem věží </w:t>
      </w:r>
      <w:proofErr w:type="spellStart"/>
      <w:r w:rsidRPr="00CA6C0E">
        <w:rPr>
          <w:rFonts w:ascii="Arial" w:hAnsi="Arial" w:cs="Arial"/>
          <w:sz w:val="20"/>
          <w:szCs w:val="20"/>
        </w:rPr>
        <w:t>n</w:t>
      </w:r>
      <w:r w:rsidRPr="00CA6C0E">
        <w:rPr>
          <w:rFonts w:ascii="Arial" w:hAnsi="Arial" w:cs="Arial"/>
          <w:sz w:val="20"/>
          <w:szCs w:val="20"/>
          <w:vertAlign w:val="subscript"/>
        </w:rPr>
        <w:t>věž</w:t>
      </w:r>
      <w:proofErr w:type="spellEnd"/>
      <w:r w:rsidRPr="00CA6C0E">
        <w:rPr>
          <w:rFonts w:ascii="Arial" w:hAnsi="Arial" w:cs="Arial"/>
          <w:sz w:val="20"/>
          <w:szCs w:val="20"/>
        </w:rPr>
        <w:t xml:space="preserve"> = </w:t>
      </w:r>
      <w:r w:rsidR="00DF61C9">
        <w:rPr>
          <w:rFonts w:ascii="Arial" w:hAnsi="Arial" w:cs="Arial"/>
          <w:sz w:val="20"/>
          <w:szCs w:val="20"/>
        </w:rPr>
        <w:t>8</w:t>
      </w:r>
      <w:r w:rsidRPr="00CA6C0E">
        <w:rPr>
          <w:rFonts w:ascii="Arial" w:hAnsi="Arial" w:cs="Arial"/>
          <w:sz w:val="20"/>
          <w:szCs w:val="20"/>
        </w:rPr>
        <w:t>.</w:t>
      </w:r>
    </w:p>
    <w:p w14:paraId="649500FB" w14:textId="12356B44" w:rsidR="00F94E19" w:rsidRPr="00CA6C0E" w:rsidRDefault="00F94E19" w:rsidP="00A04ECB">
      <w:pPr>
        <w:spacing w:after="60" w:line="276" w:lineRule="auto"/>
        <w:jc w:val="both"/>
        <w:rPr>
          <w:rFonts w:ascii="Arial" w:hAnsi="Arial" w:cs="Arial"/>
          <w:sz w:val="20"/>
          <w:szCs w:val="20"/>
        </w:rPr>
      </w:pPr>
      <w:proofErr w:type="spellStart"/>
      <w:r w:rsidRPr="00CA6C0E">
        <w:rPr>
          <w:rFonts w:ascii="Arial" w:hAnsi="Arial" w:cs="Arial"/>
          <w:sz w:val="20"/>
          <w:szCs w:val="20"/>
        </w:rPr>
        <w:t>k</w:t>
      </w:r>
      <w:r w:rsidRPr="00CA6C0E">
        <w:rPr>
          <w:rFonts w:ascii="Arial" w:hAnsi="Arial" w:cs="Arial"/>
          <w:sz w:val="20"/>
          <w:szCs w:val="20"/>
          <w:vertAlign w:val="subscript"/>
        </w:rPr>
        <w:t>neef</w:t>
      </w:r>
      <w:proofErr w:type="spellEnd"/>
      <w:r w:rsidRPr="00CA6C0E">
        <w:rPr>
          <w:rFonts w:ascii="Arial" w:hAnsi="Arial" w:cs="Arial"/>
          <w:sz w:val="20"/>
          <w:szCs w:val="20"/>
        </w:rPr>
        <w:t xml:space="preserve"> je redukční koeficient vyjadřující předpokládanou neefektivitu budoucích záměrů s ohledem např. na omezení při lokalizaci záměrů způsobená majetkoprávními vztahy v území, použití věží s menším než očekávaným výkonem apod. Odborným odhadem byl stanoven na 0,70;</w:t>
      </w:r>
    </w:p>
    <w:p w14:paraId="4353772C" w14:textId="39833D5F" w:rsidR="00F94E19" w:rsidRPr="00CA6C0E" w:rsidRDefault="00F94E19" w:rsidP="00A04ECB">
      <w:pPr>
        <w:spacing w:after="60" w:line="276" w:lineRule="auto"/>
        <w:jc w:val="both"/>
        <w:rPr>
          <w:rFonts w:ascii="Arial" w:hAnsi="Arial" w:cs="Arial"/>
          <w:sz w:val="20"/>
          <w:szCs w:val="20"/>
        </w:rPr>
      </w:pPr>
      <w:proofErr w:type="spellStart"/>
      <w:r w:rsidRPr="00CA6C0E">
        <w:rPr>
          <w:rFonts w:ascii="Arial" w:hAnsi="Arial" w:cs="Arial"/>
          <w:sz w:val="20"/>
          <w:szCs w:val="20"/>
        </w:rPr>
        <w:t>P</w:t>
      </w:r>
      <w:r w:rsidRPr="00CA6C0E">
        <w:rPr>
          <w:rFonts w:ascii="Arial" w:hAnsi="Arial" w:cs="Arial"/>
          <w:sz w:val="20"/>
          <w:szCs w:val="20"/>
          <w:vertAlign w:val="subscript"/>
        </w:rPr>
        <w:t>věž</w:t>
      </w:r>
      <w:proofErr w:type="spellEnd"/>
      <w:r w:rsidRPr="00CA6C0E">
        <w:rPr>
          <w:rFonts w:ascii="Arial" w:hAnsi="Arial" w:cs="Arial"/>
          <w:sz w:val="20"/>
          <w:szCs w:val="20"/>
        </w:rPr>
        <w:t xml:space="preserve"> [MW] je </w:t>
      </w:r>
      <w:r w:rsidR="008A305E" w:rsidRPr="00CA6C0E">
        <w:rPr>
          <w:rFonts w:ascii="Arial" w:hAnsi="Arial" w:cs="Arial"/>
          <w:sz w:val="20"/>
          <w:szCs w:val="20"/>
        </w:rPr>
        <w:t>odhadovaný</w:t>
      </w:r>
      <w:r w:rsidRPr="00CA6C0E">
        <w:rPr>
          <w:rFonts w:ascii="Arial" w:hAnsi="Arial" w:cs="Arial"/>
          <w:sz w:val="20"/>
          <w:szCs w:val="20"/>
        </w:rPr>
        <w:t xml:space="preserve"> maximální instalovaný výkon </w:t>
      </w:r>
      <w:r w:rsidR="008A305E" w:rsidRPr="00CA6C0E">
        <w:rPr>
          <w:rFonts w:ascii="Arial" w:hAnsi="Arial" w:cs="Arial"/>
          <w:sz w:val="20"/>
          <w:szCs w:val="20"/>
        </w:rPr>
        <w:t xml:space="preserve">jedné věže </w:t>
      </w:r>
      <w:r w:rsidRPr="00CA6C0E">
        <w:rPr>
          <w:rFonts w:ascii="Arial" w:hAnsi="Arial" w:cs="Arial"/>
          <w:sz w:val="20"/>
          <w:szCs w:val="20"/>
        </w:rPr>
        <w:t>větrné elektrárny. S ohledem na</w:t>
      </w:r>
      <w:r w:rsidR="00154A49">
        <w:rPr>
          <w:rFonts w:ascii="Arial" w:hAnsi="Arial" w:cs="Arial"/>
          <w:sz w:val="20"/>
          <w:szCs w:val="20"/>
        </w:rPr>
        <w:t> </w:t>
      </w:r>
      <w:r w:rsidRPr="00CA6C0E">
        <w:rPr>
          <w:rFonts w:ascii="Arial" w:hAnsi="Arial" w:cs="Arial"/>
          <w:sz w:val="20"/>
          <w:szCs w:val="20"/>
        </w:rPr>
        <w:t>současné dostupné technologie byl stanoven na 5,0 MW.</w:t>
      </w:r>
    </w:p>
    <w:p w14:paraId="740FB297" w14:textId="170034D4" w:rsidR="00F94E19" w:rsidRPr="00CA6C0E" w:rsidRDefault="00F94E19" w:rsidP="00A04ECB">
      <w:pPr>
        <w:spacing w:before="120" w:after="120" w:line="276" w:lineRule="auto"/>
        <w:jc w:val="both"/>
        <w:rPr>
          <w:rFonts w:ascii="Arial" w:hAnsi="Arial" w:cs="Arial"/>
          <w:sz w:val="20"/>
          <w:szCs w:val="20"/>
        </w:rPr>
      </w:pPr>
      <w:r w:rsidRPr="00CA6C0E">
        <w:rPr>
          <w:rFonts w:ascii="Arial" w:hAnsi="Arial" w:cs="Arial"/>
          <w:sz w:val="20"/>
          <w:szCs w:val="20"/>
        </w:rPr>
        <w:t xml:space="preserve">Dosazením do vzorce docházíme k hodnotě </w:t>
      </w:r>
      <w:proofErr w:type="spellStart"/>
      <w:r w:rsidRPr="00CA6C0E">
        <w:rPr>
          <w:rFonts w:ascii="Arial" w:hAnsi="Arial" w:cs="Arial"/>
          <w:sz w:val="20"/>
          <w:szCs w:val="20"/>
        </w:rPr>
        <w:t>P</w:t>
      </w:r>
      <w:r w:rsidRPr="00CA6C0E">
        <w:rPr>
          <w:rFonts w:ascii="Arial" w:hAnsi="Arial" w:cs="Arial"/>
          <w:sz w:val="20"/>
          <w:szCs w:val="20"/>
          <w:vertAlign w:val="subscript"/>
        </w:rPr>
        <w:t>odh</w:t>
      </w:r>
      <w:proofErr w:type="spellEnd"/>
      <w:r w:rsidRPr="00CA6C0E">
        <w:rPr>
          <w:rFonts w:ascii="Arial" w:hAnsi="Arial" w:cs="Arial"/>
          <w:sz w:val="20"/>
          <w:szCs w:val="20"/>
        </w:rPr>
        <w:t xml:space="preserve"> = </w:t>
      </w:r>
      <w:r w:rsidR="00DF61C9">
        <w:rPr>
          <w:rFonts w:ascii="Arial" w:hAnsi="Arial" w:cs="Arial"/>
          <w:sz w:val="20"/>
          <w:szCs w:val="20"/>
        </w:rPr>
        <w:t>8</w:t>
      </w:r>
      <w:r w:rsidR="00DF61C9" w:rsidRPr="00CA6C0E">
        <w:rPr>
          <w:rFonts w:ascii="Arial" w:hAnsi="Arial" w:cs="Arial"/>
          <w:sz w:val="20"/>
          <w:szCs w:val="20"/>
        </w:rPr>
        <w:t xml:space="preserve"> </w:t>
      </w:r>
      <w:r w:rsidR="009A5FC1" w:rsidRPr="00E34D49">
        <w:rPr>
          <w:rFonts w:ascii="Arial" w:eastAsia="Symbol" w:hAnsi="Arial" w:cs="Arial"/>
          <w:sz w:val="20"/>
          <w:szCs w:val="20"/>
        </w:rPr>
        <w:t>×</w:t>
      </w:r>
      <w:r w:rsidR="009A5FC1" w:rsidRPr="00CA6C0E">
        <w:rPr>
          <w:rFonts w:ascii="Arial" w:hAnsi="Arial" w:cs="Arial"/>
          <w:sz w:val="20"/>
          <w:szCs w:val="20"/>
        </w:rPr>
        <w:t> </w:t>
      </w:r>
      <w:r w:rsidRPr="00CA6C0E">
        <w:rPr>
          <w:rFonts w:ascii="Arial" w:hAnsi="Arial" w:cs="Arial"/>
          <w:sz w:val="20"/>
          <w:szCs w:val="20"/>
        </w:rPr>
        <w:t xml:space="preserve">0,70 </w:t>
      </w:r>
      <w:r w:rsidR="009A5FC1" w:rsidRPr="00E34D49">
        <w:rPr>
          <w:rFonts w:ascii="Arial" w:eastAsia="Symbol" w:hAnsi="Arial" w:cs="Arial"/>
          <w:sz w:val="20"/>
          <w:szCs w:val="20"/>
        </w:rPr>
        <w:t>×</w:t>
      </w:r>
      <w:r w:rsidR="009A5FC1" w:rsidRPr="00CA6C0E">
        <w:rPr>
          <w:rFonts w:ascii="Arial" w:hAnsi="Arial" w:cs="Arial"/>
          <w:sz w:val="20"/>
          <w:szCs w:val="20"/>
        </w:rPr>
        <w:t> </w:t>
      </w:r>
      <w:r w:rsidRPr="00CA6C0E">
        <w:rPr>
          <w:rFonts w:ascii="Arial" w:hAnsi="Arial" w:cs="Arial"/>
          <w:sz w:val="20"/>
          <w:szCs w:val="20"/>
        </w:rPr>
        <w:t xml:space="preserve">5 </w:t>
      </w:r>
      <w:r w:rsidRPr="00E34D49">
        <w:rPr>
          <w:rFonts w:ascii="Arial" w:hAnsi="Arial" w:cs="Arial"/>
          <w:sz w:val="20"/>
          <w:szCs w:val="20"/>
        </w:rPr>
        <w:t xml:space="preserve">= </w:t>
      </w:r>
      <w:r w:rsidR="00DF61C9">
        <w:rPr>
          <w:rFonts w:ascii="Arial" w:hAnsi="Arial" w:cs="Arial"/>
          <w:sz w:val="20"/>
          <w:szCs w:val="20"/>
        </w:rPr>
        <w:t>28,0 </w:t>
      </w:r>
      <w:r w:rsidRPr="00E34D49">
        <w:rPr>
          <w:rFonts w:ascii="Arial" w:hAnsi="Arial" w:cs="Arial"/>
          <w:sz w:val="20"/>
          <w:szCs w:val="20"/>
        </w:rPr>
        <w:t>MW</w:t>
      </w:r>
      <w:r w:rsidRPr="00CA6C0E">
        <w:rPr>
          <w:rFonts w:ascii="Arial" w:hAnsi="Arial" w:cs="Arial"/>
          <w:sz w:val="20"/>
          <w:szCs w:val="20"/>
        </w:rPr>
        <w:t>.</w:t>
      </w:r>
    </w:p>
    <w:p w14:paraId="71209D3E" w14:textId="39A5DFCB" w:rsidR="000838EF" w:rsidRPr="00CA6C0E" w:rsidRDefault="00A16D48" w:rsidP="00A04ECB">
      <w:pPr>
        <w:spacing w:before="120" w:after="120" w:line="276" w:lineRule="auto"/>
        <w:jc w:val="both"/>
        <w:rPr>
          <w:rFonts w:ascii="Arial" w:hAnsi="Arial" w:cs="Arial"/>
          <w:sz w:val="20"/>
          <w:szCs w:val="20"/>
        </w:rPr>
      </w:pPr>
      <w:r w:rsidRPr="00CA6C0E">
        <w:rPr>
          <w:rFonts w:ascii="Arial" w:hAnsi="Arial" w:cs="Arial"/>
          <w:sz w:val="20"/>
          <w:szCs w:val="20"/>
        </w:rPr>
        <w:t>Územní opatření se pořizuje společně se změnou územně plánovací dokumentac</w:t>
      </w:r>
      <w:r w:rsidR="003A5714" w:rsidRPr="00CA6C0E">
        <w:rPr>
          <w:rFonts w:ascii="Arial" w:hAnsi="Arial" w:cs="Arial"/>
          <w:sz w:val="20"/>
          <w:szCs w:val="20"/>
        </w:rPr>
        <w:t>e</w:t>
      </w:r>
      <w:r w:rsidRPr="00CA6C0E">
        <w:rPr>
          <w:rFonts w:ascii="Arial" w:hAnsi="Arial" w:cs="Arial"/>
          <w:sz w:val="20"/>
          <w:szCs w:val="20"/>
        </w:rPr>
        <w:t xml:space="preserve">. O pořízení </w:t>
      </w:r>
      <w:r w:rsidR="00FD1D92" w:rsidRPr="00CA6C0E">
        <w:rPr>
          <w:rFonts w:ascii="Arial" w:hAnsi="Arial" w:cs="Arial"/>
          <w:sz w:val="20"/>
          <w:szCs w:val="20"/>
        </w:rPr>
        <w:t xml:space="preserve">Změny </w:t>
      </w:r>
      <w:r w:rsidRPr="00CA6C0E">
        <w:rPr>
          <w:rFonts w:ascii="Arial" w:hAnsi="Arial" w:cs="Arial"/>
          <w:sz w:val="20"/>
          <w:szCs w:val="20"/>
        </w:rPr>
        <w:t xml:space="preserve">č. </w:t>
      </w:r>
      <w:r w:rsidR="000D77D6" w:rsidRPr="00CA6C0E">
        <w:rPr>
          <w:rFonts w:ascii="Arial" w:hAnsi="Arial" w:cs="Arial"/>
          <w:sz w:val="20"/>
          <w:szCs w:val="20"/>
        </w:rPr>
        <w:t>2</w:t>
      </w:r>
      <w:r w:rsidRPr="00CA6C0E">
        <w:rPr>
          <w:rFonts w:ascii="Arial" w:hAnsi="Arial" w:cs="Arial"/>
          <w:sz w:val="20"/>
          <w:szCs w:val="20"/>
        </w:rPr>
        <w:t xml:space="preserve"> </w:t>
      </w:r>
      <w:r w:rsidR="006F5928" w:rsidRPr="00CA6C0E">
        <w:rPr>
          <w:rFonts w:ascii="Arial" w:hAnsi="Arial" w:cs="Arial"/>
          <w:b/>
          <w:bCs/>
          <w:sz w:val="20"/>
          <w:szCs w:val="20"/>
        </w:rPr>
        <w:t xml:space="preserve">územního rozvojového plánu </w:t>
      </w:r>
      <w:r w:rsidRPr="00CA6C0E">
        <w:rPr>
          <w:rFonts w:ascii="Arial" w:hAnsi="Arial" w:cs="Arial"/>
          <w:sz w:val="20"/>
          <w:szCs w:val="20"/>
        </w:rPr>
        <w:t>rozhodl</w:t>
      </w:r>
      <w:r w:rsidR="006F5928" w:rsidRPr="00CA6C0E">
        <w:rPr>
          <w:rFonts w:ascii="Arial" w:hAnsi="Arial" w:cs="Arial"/>
          <w:sz w:val="20"/>
          <w:szCs w:val="20"/>
        </w:rPr>
        <w:t>a</w:t>
      </w:r>
      <w:r w:rsidRPr="00CA6C0E">
        <w:rPr>
          <w:rFonts w:ascii="Arial" w:hAnsi="Arial" w:cs="Arial"/>
          <w:sz w:val="20"/>
          <w:szCs w:val="20"/>
        </w:rPr>
        <w:t xml:space="preserve"> </w:t>
      </w:r>
      <w:r w:rsidR="006F5928" w:rsidRPr="00CA6C0E">
        <w:rPr>
          <w:rFonts w:ascii="Arial" w:hAnsi="Arial" w:cs="Arial"/>
          <w:sz w:val="20"/>
          <w:szCs w:val="20"/>
        </w:rPr>
        <w:t>Vláda</w:t>
      </w:r>
      <w:r w:rsidRPr="00CA6C0E">
        <w:rPr>
          <w:rFonts w:ascii="Arial" w:hAnsi="Arial" w:cs="Arial"/>
          <w:sz w:val="20"/>
          <w:szCs w:val="20"/>
        </w:rPr>
        <w:t xml:space="preserve"> dne </w:t>
      </w:r>
      <w:bookmarkStart w:id="0" w:name="_Hlk214038986"/>
      <w:r w:rsidR="006F5928" w:rsidRPr="00CA6C0E">
        <w:rPr>
          <w:rFonts w:ascii="Arial" w:hAnsi="Arial" w:cs="Arial"/>
          <w:sz w:val="20"/>
          <w:szCs w:val="20"/>
        </w:rPr>
        <w:t>2</w:t>
      </w:r>
      <w:r w:rsidR="00991287" w:rsidRPr="00CA6C0E">
        <w:rPr>
          <w:rFonts w:ascii="Arial" w:hAnsi="Arial" w:cs="Arial"/>
          <w:sz w:val="20"/>
          <w:szCs w:val="20"/>
        </w:rPr>
        <w:t>2</w:t>
      </w:r>
      <w:r w:rsidR="000D77D6" w:rsidRPr="00CA6C0E">
        <w:rPr>
          <w:rFonts w:ascii="Arial" w:hAnsi="Arial" w:cs="Arial"/>
          <w:sz w:val="20"/>
          <w:szCs w:val="20"/>
        </w:rPr>
        <w:t xml:space="preserve">. </w:t>
      </w:r>
      <w:r w:rsidR="006F5928" w:rsidRPr="00CA6C0E">
        <w:rPr>
          <w:rFonts w:ascii="Arial" w:hAnsi="Arial" w:cs="Arial"/>
          <w:sz w:val="20"/>
          <w:szCs w:val="20"/>
        </w:rPr>
        <w:t>10</w:t>
      </w:r>
      <w:r w:rsidR="000D77D6" w:rsidRPr="00CA6C0E">
        <w:rPr>
          <w:rFonts w:ascii="Arial" w:hAnsi="Arial" w:cs="Arial"/>
          <w:sz w:val="20"/>
          <w:szCs w:val="20"/>
        </w:rPr>
        <w:t>. 202</w:t>
      </w:r>
      <w:r w:rsidR="006F5928" w:rsidRPr="00CA6C0E">
        <w:rPr>
          <w:rFonts w:ascii="Arial" w:hAnsi="Arial" w:cs="Arial"/>
          <w:sz w:val="20"/>
          <w:szCs w:val="20"/>
        </w:rPr>
        <w:t>5</w:t>
      </w:r>
      <w:r w:rsidRPr="00CA6C0E">
        <w:rPr>
          <w:rFonts w:ascii="Arial" w:hAnsi="Arial" w:cs="Arial"/>
          <w:sz w:val="20"/>
          <w:szCs w:val="20"/>
        </w:rPr>
        <w:t xml:space="preserve"> usnesením č. </w:t>
      </w:r>
      <w:r w:rsidR="00190E5A" w:rsidRPr="00CA6C0E">
        <w:rPr>
          <w:rFonts w:ascii="Arial" w:hAnsi="Arial" w:cs="Arial"/>
          <w:sz w:val="20"/>
          <w:szCs w:val="20"/>
        </w:rPr>
        <w:t>811</w:t>
      </w:r>
      <w:r w:rsidR="000D77D6" w:rsidRPr="00CA6C0E">
        <w:rPr>
          <w:rFonts w:ascii="Arial" w:hAnsi="Arial" w:cs="Arial"/>
          <w:sz w:val="20"/>
          <w:szCs w:val="20"/>
        </w:rPr>
        <w:t>/202</w:t>
      </w:r>
      <w:r w:rsidR="006F5928" w:rsidRPr="00CA6C0E">
        <w:rPr>
          <w:rFonts w:ascii="Arial" w:hAnsi="Arial" w:cs="Arial"/>
          <w:sz w:val="20"/>
          <w:szCs w:val="20"/>
        </w:rPr>
        <w:t>5</w:t>
      </w:r>
      <w:bookmarkEnd w:id="0"/>
      <w:r w:rsidRPr="00CA6C0E">
        <w:rPr>
          <w:rFonts w:ascii="Arial" w:hAnsi="Arial" w:cs="Arial"/>
          <w:sz w:val="20"/>
          <w:szCs w:val="20"/>
        </w:rPr>
        <w:t>.</w:t>
      </w:r>
      <w:r w:rsidR="000838EF" w:rsidRPr="00CA6C0E">
        <w:rPr>
          <w:rFonts w:ascii="Arial" w:hAnsi="Arial" w:cs="Arial"/>
          <w:sz w:val="20"/>
          <w:szCs w:val="20"/>
        </w:rPr>
        <w:t xml:space="preserve"> </w:t>
      </w:r>
    </w:p>
    <w:p w14:paraId="3C41AF7D" w14:textId="1BF49916" w:rsidR="00653008" w:rsidRPr="00CA6C0E" w:rsidRDefault="00A5026B" w:rsidP="00A04ECB">
      <w:pPr>
        <w:spacing w:before="120" w:after="120" w:line="276" w:lineRule="auto"/>
        <w:jc w:val="both"/>
        <w:rPr>
          <w:rFonts w:ascii="Arial" w:hAnsi="Arial" w:cs="Arial"/>
          <w:sz w:val="20"/>
          <w:szCs w:val="20"/>
        </w:rPr>
      </w:pPr>
      <w:r w:rsidRPr="00CA6C0E">
        <w:rPr>
          <w:rFonts w:ascii="Arial" w:hAnsi="Arial" w:cs="Arial"/>
          <w:sz w:val="20"/>
          <w:szCs w:val="20"/>
        </w:rPr>
        <w:t xml:space="preserve">Územní opatření schvaluje a vydává podle § 9 odst. 3 ZOZE orgán příslušný k vydání územně plánovací dokumentace, kterou se vymezuje nebo byla vymezena akcelerační oblast. Tímto orgánem je </w:t>
      </w:r>
      <w:r w:rsidR="006F5928" w:rsidRPr="00CA6C0E">
        <w:rPr>
          <w:rFonts w:ascii="Arial" w:hAnsi="Arial" w:cs="Arial"/>
          <w:sz w:val="20"/>
          <w:szCs w:val="20"/>
        </w:rPr>
        <w:t>Vláda ČR</w:t>
      </w:r>
      <w:r w:rsidRPr="00CA6C0E">
        <w:rPr>
          <w:rFonts w:ascii="Arial" w:hAnsi="Arial" w:cs="Arial"/>
          <w:sz w:val="20"/>
          <w:szCs w:val="20"/>
        </w:rPr>
        <w:t>.</w:t>
      </w:r>
    </w:p>
    <w:p w14:paraId="712834CA" w14:textId="3CCC9F09" w:rsidR="00A5026B" w:rsidRPr="00CA6C0E" w:rsidRDefault="00A5026B" w:rsidP="00A04ECB">
      <w:pPr>
        <w:spacing w:before="120" w:after="120" w:line="276" w:lineRule="auto"/>
        <w:jc w:val="both"/>
        <w:rPr>
          <w:rFonts w:ascii="Arial" w:hAnsi="Arial" w:cs="Arial"/>
          <w:sz w:val="20"/>
          <w:szCs w:val="20"/>
        </w:rPr>
      </w:pPr>
      <w:r w:rsidRPr="00CA6C0E">
        <w:rPr>
          <w:rFonts w:ascii="Arial" w:hAnsi="Arial" w:cs="Arial"/>
          <w:sz w:val="20"/>
          <w:szCs w:val="20"/>
        </w:rPr>
        <w:t xml:space="preserve">Pořizovatelem územního opatření je podle § 9 odst. 1 ZOZE pořizovatel územně plánovací dokumentace, </w:t>
      </w:r>
      <w:bookmarkStart w:id="1" w:name="_Hlk165554460"/>
      <w:r w:rsidRPr="00CA6C0E">
        <w:rPr>
          <w:rFonts w:ascii="Arial" w:hAnsi="Arial" w:cs="Arial"/>
          <w:sz w:val="20"/>
          <w:szCs w:val="20"/>
        </w:rPr>
        <w:t>kterou se vymezuje nebo byla vymezena akcelerační oblast</w:t>
      </w:r>
      <w:bookmarkEnd w:id="1"/>
      <w:r w:rsidRPr="00CA6C0E">
        <w:rPr>
          <w:rFonts w:ascii="Arial" w:hAnsi="Arial" w:cs="Arial"/>
          <w:sz w:val="20"/>
          <w:szCs w:val="20"/>
        </w:rPr>
        <w:t xml:space="preserve">. Tímto orgánem je </w:t>
      </w:r>
      <w:r w:rsidR="006F5928" w:rsidRPr="00CA6C0E">
        <w:rPr>
          <w:rFonts w:ascii="Arial" w:hAnsi="Arial" w:cs="Arial"/>
          <w:sz w:val="20"/>
          <w:szCs w:val="20"/>
        </w:rPr>
        <w:t>Ministerstvo pro místní rozvoj</w:t>
      </w:r>
      <w:r w:rsidRPr="00CA6C0E">
        <w:rPr>
          <w:rFonts w:ascii="Arial" w:hAnsi="Arial" w:cs="Arial"/>
          <w:sz w:val="20"/>
          <w:szCs w:val="20"/>
        </w:rPr>
        <w:t>.</w:t>
      </w:r>
    </w:p>
    <w:p w14:paraId="6B921748" w14:textId="77777777" w:rsidR="004015C4" w:rsidRPr="00CA6C0E" w:rsidRDefault="004015C4" w:rsidP="00A04ECB">
      <w:pPr>
        <w:spacing w:before="120" w:after="120" w:line="276" w:lineRule="auto"/>
        <w:jc w:val="both"/>
        <w:rPr>
          <w:rFonts w:ascii="Arial" w:hAnsi="Arial" w:cs="Arial"/>
          <w:sz w:val="20"/>
          <w:szCs w:val="20"/>
        </w:rPr>
      </w:pPr>
      <w:r w:rsidRPr="00CA6C0E">
        <w:rPr>
          <w:rFonts w:ascii="Arial" w:hAnsi="Arial" w:cs="Arial"/>
          <w:sz w:val="20"/>
          <w:szCs w:val="20"/>
        </w:rPr>
        <w:t>Návrh územního opatření zpracovali v souladu s cíli a úkoly územního plánování</w:t>
      </w:r>
    </w:p>
    <w:p w14:paraId="59B94ED9" w14:textId="3E61DFE1" w:rsidR="004015C4" w:rsidRPr="00CA6C0E" w:rsidRDefault="006F5928" w:rsidP="00A04ECB">
      <w:pPr>
        <w:spacing w:before="120" w:after="120" w:line="276" w:lineRule="auto"/>
        <w:jc w:val="both"/>
        <w:rPr>
          <w:rFonts w:ascii="Arial" w:hAnsi="Arial" w:cs="Arial"/>
          <w:sz w:val="20"/>
          <w:szCs w:val="20"/>
        </w:rPr>
      </w:pPr>
      <w:bookmarkStart w:id="2" w:name="_Hlk214039024"/>
      <w:r w:rsidRPr="00CA6C0E">
        <w:rPr>
          <w:rFonts w:ascii="Arial" w:hAnsi="Arial" w:cs="Arial"/>
          <w:sz w:val="20"/>
          <w:szCs w:val="20"/>
        </w:rPr>
        <w:t>Ing. arch. Martina Kabelková</w:t>
      </w:r>
      <w:r w:rsidR="004015C4" w:rsidRPr="00CA6C0E">
        <w:rPr>
          <w:rFonts w:ascii="Arial" w:hAnsi="Arial" w:cs="Arial"/>
          <w:sz w:val="20"/>
          <w:szCs w:val="20"/>
        </w:rPr>
        <w:t xml:space="preserve">, číslo autorizace ČKA </w:t>
      </w:r>
      <w:r w:rsidR="00DA361C" w:rsidRPr="00CA6C0E">
        <w:rPr>
          <w:rFonts w:ascii="Arial" w:hAnsi="Arial" w:cs="Arial"/>
          <w:sz w:val="20"/>
          <w:szCs w:val="20"/>
        </w:rPr>
        <w:t>0</w:t>
      </w:r>
      <w:r w:rsidRPr="00CA6C0E">
        <w:rPr>
          <w:rFonts w:ascii="Arial" w:hAnsi="Arial" w:cs="Arial"/>
          <w:sz w:val="20"/>
          <w:szCs w:val="20"/>
        </w:rPr>
        <w:t>3</w:t>
      </w:r>
      <w:r w:rsidR="00DA361C" w:rsidRPr="00CA6C0E">
        <w:rPr>
          <w:rFonts w:ascii="Arial" w:hAnsi="Arial" w:cs="Arial"/>
          <w:sz w:val="20"/>
          <w:szCs w:val="20"/>
        </w:rPr>
        <w:t> </w:t>
      </w:r>
      <w:r w:rsidRPr="00CA6C0E">
        <w:rPr>
          <w:rFonts w:ascii="Arial" w:hAnsi="Arial" w:cs="Arial"/>
          <w:sz w:val="20"/>
          <w:szCs w:val="20"/>
        </w:rPr>
        <w:t>844</w:t>
      </w:r>
      <w:r w:rsidR="004015C4" w:rsidRPr="00CA6C0E">
        <w:rPr>
          <w:rFonts w:ascii="Arial" w:hAnsi="Arial" w:cs="Arial"/>
          <w:sz w:val="20"/>
          <w:szCs w:val="20"/>
        </w:rPr>
        <w:t>, projektant oprávněný zpracovat územně plánovací dokumentaci,</w:t>
      </w:r>
    </w:p>
    <w:p w14:paraId="25D6D712" w14:textId="77777777" w:rsidR="009C0680" w:rsidRDefault="005469CB" w:rsidP="00A04ECB">
      <w:pPr>
        <w:spacing w:before="120" w:after="120" w:line="276" w:lineRule="auto"/>
        <w:jc w:val="both"/>
        <w:rPr>
          <w:rFonts w:ascii="Arial" w:hAnsi="Arial" w:cs="Arial"/>
          <w:sz w:val="20"/>
          <w:szCs w:val="20"/>
        </w:rPr>
      </w:pPr>
      <w:r w:rsidRPr="00CA6C0E">
        <w:rPr>
          <w:rFonts w:ascii="Arial" w:hAnsi="Arial" w:cs="Arial"/>
          <w:sz w:val="20"/>
          <w:szCs w:val="20"/>
        </w:rPr>
        <w:lastRenderedPageBreak/>
        <w:t>Ing. Pavla Žídková</w:t>
      </w:r>
      <w:r w:rsidR="00015084" w:rsidRPr="00CA6C0E">
        <w:rPr>
          <w:rFonts w:ascii="Arial" w:hAnsi="Arial" w:cs="Arial"/>
          <w:sz w:val="20"/>
          <w:szCs w:val="20"/>
        </w:rPr>
        <w:t xml:space="preserve"> autorizovaná osoba</w:t>
      </w:r>
      <w:r w:rsidRPr="00CA6C0E">
        <w:rPr>
          <w:rFonts w:ascii="Arial" w:hAnsi="Arial" w:cs="Arial"/>
          <w:sz w:val="20"/>
          <w:szCs w:val="20"/>
        </w:rPr>
        <w:t xml:space="preserve"> (osvědčení č.j.094/435/OPVŽP/95, prodlouženo rozhodnutím č.j. MZP/2021/710/4653) </w:t>
      </w:r>
      <w:r w:rsidR="004015C4" w:rsidRPr="00CA6C0E">
        <w:rPr>
          <w:rFonts w:ascii="Arial" w:hAnsi="Arial" w:cs="Arial"/>
          <w:sz w:val="20"/>
          <w:szCs w:val="20"/>
        </w:rPr>
        <w:t xml:space="preserve">podle § 19 zákona </w:t>
      </w:r>
      <w:r w:rsidR="00C70B10" w:rsidRPr="00CA6C0E">
        <w:rPr>
          <w:rFonts w:ascii="Arial" w:hAnsi="Arial" w:cs="Arial"/>
          <w:sz w:val="20"/>
          <w:szCs w:val="20"/>
        </w:rPr>
        <w:t>č. 100/2001 Sb., o posuzování vlivů na životní prostředí</w:t>
      </w:r>
      <w:r w:rsidR="004015C4" w:rsidRPr="00CA6C0E">
        <w:rPr>
          <w:rFonts w:ascii="Arial" w:hAnsi="Arial" w:cs="Arial"/>
          <w:sz w:val="20"/>
          <w:szCs w:val="20"/>
        </w:rPr>
        <w:t>,</w:t>
      </w:r>
      <w:r w:rsidR="00015084" w:rsidRPr="00CA6C0E">
        <w:rPr>
          <w:rFonts w:ascii="Arial" w:hAnsi="Arial" w:cs="Arial"/>
          <w:sz w:val="20"/>
          <w:szCs w:val="20"/>
        </w:rPr>
        <w:t xml:space="preserve"> </w:t>
      </w:r>
    </w:p>
    <w:p w14:paraId="5267D7E1" w14:textId="77777777" w:rsidR="006252ED" w:rsidRDefault="005469CB" w:rsidP="00A04ECB">
      <w:pPr>
        <w:spacing w:before="120" w:after="120" w:line="276" w:lineRule="auto"/>
        <w:jc w:val="both"/>
        <w:rPr>
          <w:rFonts w:ascii="Arial" w:hAnsi="Arial" w:cs="Arial"/>
          <w:sz w:val="20"/>
          <w:szCs w:val="20"/>
        </w:rPr>
      </w:pPr>
      <w:r w:rsidRPr="00CA6C0E">
        <w:rPr>
          <w:rFonts w:ascii="Arial" w:hAnsi="Arial" w:cs="Arial"/>
          <w:sz w:val="20"/>
          <w:szCs w:val="20"/>
        </w:rPr>
        <w:t xml:space="preserve">Mgr. Zdeněk Frélich </w:t>
      </w:r>
      <w:r w:rsidR="00C70B10" w:rsidRPr="00CA6C0E">
        <w:rPr>
          <w:rFonts w:ascii="Arial" w:hAnsi="Arial" w:cs="Arial"/>
          <w:sz w:val="20"/>
          <w:szCs w:val="20"/>
        </w:rPr>
        <w:t xml:space="preserve">autorizovaná osoba </w:t>
      </w:r>
      <w:r w:rsidR="00015084" w:rsidRPr="00CA6C0E">
        <w:rPr>
          <w:rFonts w:ascii="Arial" w:hAnsi="Arial" w:cs="Arial"/>
          <w:sz w:val="20"/>
          <w:szCs w:val="20"/>
        </w:rPr>
        <w:t xml:space="preserve">(č.j. autorizace: 101346/ENV/09-3093/630/09 – prodlouženo rozhodnutím č.j. MZP/2024/630/2390 do 30.11.2029) </w:t>
      </w:r>
      <w:r w:rsidR="004015C4" w:rsidRPr="00CA6C0E">
        <w:rPr>
          <w:rFonts w:ascii="Arial" w:hAnsi="Arial" w:cs="Arial"/>
          <w:sz w:val="20"/>
          <w:szCs w:val="20"/>
        </w:rPr>
        <w:t xml:space="preserve">dle § 45j zákona </w:t>
      </w:r>
      <w:r w:rsidR="00C70B10" w:rsidRPr="00CA6C0E">
        <w:rPr>
          <w:rFonts w:ascii="Arial" w:hAnsi="Arial" w:cs="Arial"/>
          <w:sz w:val="20"/>
          <w:szCs w:val="20"/>
        </w:rPr>
        <w:t>č. 114/1992 Sb., o ochraně přírody a krajiny</w:t>
      </w:r>
      <w:bookmarkEnd w:id="2"/>
      <w:r w:rsidR="006252ED">
        <w:rPr>
          <w:rFonts w:ascii="Arial" w:hAnsi="Arial" w:cs="Arial"/>
          <w:sz w:val="20"/>
          <w:szCs w:val="20"/>
        </w:rPr>
        <w:t>,</w:t>
      </w:r>
    </w:p>
    <w:p w14:paraId="406EE42A" w14:textId="77777777" w:rsidR="00F114AA" w:rsidRDefault="006252ED" w:rsidP="00A04ECB">
      <w:pPr>
        <w:spacing w:before="120" w:after="120" w:line="276" w:lineRule="auto"/>
        <w:jc w:val="both"/>
        <w:rPr>
          <w:rFonts w:ascii="Arial" w:hAnsi="Arial" w:cs="Arial"/>
          <w:sz w:val="20"/>
          <w:szCs w:val="20"/>
        </w:rPr>
      </w:pPr>
      <w:r w:rsidRPr="0008138D">
        <w:rPr>
          <w:rFonts w:ascii="Arial" w:hAnsi="Arial" w:cs="Arial"/>
          <w:sz w:val="20"/>
          <w:szCs w:val="20"/>
        </w:rPr>
        <w:t xml:space="preserve">Mgr. </w:t>
      </w:r>
      <w:r>
        <w:rPr>
          <w:rFonts w:ascii="Arial" w:hAnsi="Arial" w:cs="Arial"/>
          <w:sz w:val="20"/>
          <w:szCs w:val="20"/>
        </w:rPr>
        <w:t>Karolína Bílá, Ph.D.</w:t>
      </w:r>
      <w:r w:rsidRPr="0008138D">
        <w:rPr>
          <w:rFonts w:ascii="Arial" w:hAnsi="Arial" w:cs="Arial"/>
          <w:sz w:val="20"/>
          <w:szCs w:val="20"/>
        </w:rPr>
        <w:t xml:space="preserve"> autorizovaná osoba (č.j. autorizace </w:t>
      </w:r>
      <w:r w:rsidRPr="00770DBF">
        <w:rPr>
          <w:rFonts w:ascii="Arial" w:hAnsi="Arial" w:cs="Arial"/>
          <w:sz w:val="20"/>
          <w:szCs w:val="20"/>
        </w:rPr>
        <w:t>MZP/2025/610/714</w:t>
      </w:r>
      <w:r w:rsidRPr="0008138D">
        <w:rPr>
          <w:rFonts w:ascii="Arial" w:hAnsi="Arial" w:cs="Arial"/>
          <w:sz w:val="20"/>
          <w:szCs w:val="20"/>
        </w:rPr>
        <w:t xml:space="preserve">) dle § </w:t>
      </w:r>
      <w:r>
        <w:rPr>
          <w:rFonts w:ascii="Arial" w:hAnsi="Arial" w:cs="Arial"/>
          <w:sz w:val="20"/>
          <w:szCs w:val="20"/>
        </w:rPr>
        <w:t>67</w:t>
      </w:r>
      <w:r w:rsidRPr="0008138D">
        <w:rPr>
          <w:rFonts w:ascii="Arial" w:hAnsi="Arial" w:cs="Arial"/>
          <w:sz w:val="20"/>
          <w:szCs w:val="20"/>
        </w:rPr>
        <w:t xml:space="preserve"> zákona č.</w:t>
      </w:r>
      <w:r>
        <w:rPr>
          <w:rFonts w:ascii="Arial" w:hAnsi="Arial" w:cs="Arial"/>
          <w:sz w:val="20"/>
          <w:szCs w:val="20"/>
        </w:rPr>
        <w:t> </w:t>
      </w:r>
      <w:r w:rsidRPr="0008138D">
        <w:rPr>
          <w:rFonts w:ascii="Arial" w:hAnsi="Arial" w:cs="Arial"/>
          <w:sz w:val="20"/>
          <w:szCs w:val="20"/>
        </w:rPr>
        <w:t>114/1992 Sb., o ochraně přírody a krajiny</w:t>
      </w:r>
      <w:r w:rsidR="00F114AA">
        <w:rPr>
          <w:rFonts w:ascii="Arial" w:hAnsi="Arial" w:cs="Arial"/>
          <w:sz w:val="20"/>
          <w:szCs w:val="20"/>
        </w:rPr>
        <w:t>,</w:t>
      </w:r>
    </w:p>
    <w:p w14:paraId="192F39C5" w14:textId="6990B1C8" w:rsidR="004015C4" w:rsidRPr="00CA6C0E" w:rsidRDefault="00F114AA" w:rsidP="00A04ECB">
      <w:pPr>
        <w:spacing w:before="120" w:after="120" w:line="276" w:lineRule="auto"/>
        <w:jc w:val="both"/>
        <w:rPr>
          <w:rFonts w:ascii="Arial" w:hAnsi="Arial" w:cs="Arial"/>
          <w:sz w:val="20"/>
          <w:szCs w:val="20"/>
        </w:rPr>
      </w:pPr>
      <w:r w:rsidRPr="00F114AA">
        <w:rPr>
          <w:rFonts w:ascii="Arial" w:hAnsi="Arial" w:cs="Arial"/>
          <w:sz w:val="20"/>
          <w:szCs w:val="20"/>
        </w:rPr>
        <w:t>Mgr. Eva Volfová autorizovaná osoba (č.j. autorizace: OEKL/2808/05 – prodlouženo rozhodnutím č.j. MZP/2025/610/2575 do 3.10.2030) dle § 67 zákona č. 114/1992 Sb., o ochraně přírody a krajiny.</w:t>
      </w:r>
    </w:p>
    <w:p w14:paraId="3DF532F0" w14:textId="6CD71C23" w:rsidR="004E5D06" w:rsidRPr="00CA6C0E" w:rsidRDefault="007A4E97" w:rsidP="00A04ECB">
      <w:pPr>
        <w:spacing w:before="120" w:after="120" w:line="276" w:lineRule="auto"/>
        <w:jc w:val="both"/>
        <w:rPr>
          <w:rFonts w:ascii="Arial" w:hAnsi="Arial" w:cs="Arial"/>
          <w:sz w:val="20"/>
          <w:szCs w:val="20"/>
        </w:rPr>
      </w:pPr>
      <w:r w:rsidRPr="00CA6C0E">
        <w:rPr>
          <w:rFonts w:ascii="Arial" w:hAnsi="Arial" w:cs="Arial"/>
          <w:sz w:val="20"/>
          <w:szCs w:val="20"/>
        </w:rPr>
        <w:t xml:space="preserve">Územní opatření stanovuje v souladu s § 7 odst. 2 ZOZE a s cíli a úkoly územního plánování uvedenými v § 38 a 39 stavebního zákona </w:t>
      </w:r>
      <w:r w:rsidR="004E5D06" w:rsidRPr="00CA6C0E">
        <w:rPr>
          <w:rFonts w:ascii="Arial" w:hAnsi="Arial" w:cs="Arial"/>
          <w:sz w:val="20"/>
          <w:szCs w:val="20"/>
        </w:rPr>
        <w:t>podmínky a zmírňující opatření pro povolení, provedení nebo užívání záměrů OZE.</w:t>
      </w:r>
    </w:p>
    <w:p w14:paraId="3057E2EE" w14:textId="4CC2EBA6" w:rsidR="00573B45" w:rsidRPr="00CA6C0E" w:rsidRDefault="004E5D06" w:rsidP="00A04ECB">
      <w:pPr>
        <w:spacing w:before="120" w:after="120" w:line="276" w:lineRule="auto"/>
        <w:jc w:val="both"/>
        <w:rPr>
          <w:rFonts w:ascii="Arial" w:hAnsi="Arial" w:cs="Arial"/>
          <w:sz w:val="20"/>
          <w:szCs w:val="20"/>
        </w:rPr>
      </w:pPr>
      <w:r w:rsidRPr="00CA6C0E">
        <w:rPr>
          <w:rFonts w:ascii="Arial" w:hAnsi="Arial" w:cs="Arial"/>
          <w:sz w:val="20"/>
          <w:szCs w:val="20"/>
        </w:rPr>
        <w:t xml:space="preserve">Součástí těchto podmínek jsou také podmínky navržené za účelem vyloučení a zmírnění nepříznivých dopadů záměrů na životní prostředí a veřejné zdraví, na jejichž návrhu se spolu s projektantem podílela také osoba s autorizací podle § 19 zákona o posuzování vlivů </w:t>
      </w:r>
      <w:r w:rsidR="00573B45" w:rsidRPr="00CA6C0E">
        <w:rPr>
          <w:rFonts w:ascii="Arial" w:hAnsi="Arial" w:cs="Arial"/>
          <w:sz w:val="20"/>
          <w:szCs w:val="20"/>
        </w:rPr>
        <w:t xml:space="preserve">na životní prostředí </w:t>
      </w:r>
      <w:bookmarkStart w:id="3" w:name="_Hlk214039045"/>
      <w:r w:rsidR="00573B45" w:rsidRPr="00CA6C0E">
        <w:rPr>
          <w:rFonts w:ascii="Arial" w:hAnsi="Arial" w:cs="Arial"/>
          <w:sz w:val="20"/>
          <w:szCs w:val="20"/>
        </w:rPr>
        <w:t xml:space="preserve">– </w:t>
      </w:r>
      <w:r w:rsidR="00C70B10" w:rsidRPr="00CA6C0E">
        <w:rPr>
          <w:rFonts w:ascii="Arial" w:hAnsi="Arial" w:cs="Arial"/>
          <w:sz w:val="20"/>
          <w:szCs w:val="20"/>
        </w:rPr>
        <w:t>Ing. Pavla Žídková</w:t>
      </w:r>
      <w:r w:rsidR="00573B45" w:rsidRPr="00CA6C0E">
        <w:rPr>
          <w:rFonts w:ascii="Arial" w:hAnsi="Arial" w:cs="Arial"/>
          <w:sz w:val="20"/>
          <w:szCs w:val="20"/>
        </w:rPr>
        <w:t xml:space="preserve">, a osoba s autorizací podle § 45j zákona o ochraně přírody a krajiny – </w:t>
      </w:r>
      <w:r w:rsidR="00C70B10" w:rsidRPr="00CA6C0E">
        <w:rPr>
          <w:rFonts w:ascii="Arial" w:hAnsi="Arial" w:cs="Arial"/>
          <w:sz w:val="20"/>
          <w:szCs w:val="20"/>
        </w:rPr>
        <w:t>Mgr. Zdeněk Frélich</w:t>
      </w:r>
      <w:bookmarkEnd w:id="3"/>
      <w:r w:rsidR="00573B45" w:rsidRPr="00CA6C0E">
        <w:rPr>
          <w:rFonts w:ascii="Arial" w:hAnsi="Arial" w:cs="Arial"/>
          <w:sz w:val="20"/>
          <w:szCs w:val="20"/>
        </w:rPr>
        <w:t>.</w:t>
      </w:r>
    </w:p>
    <w:p w14:paraId="2EB50A97" w14:textId="69AE7CFF" w:rsidR="00573B45" w:rsidRPr="00CA6C0E" w:rsidRDefault="00573B45" w:rsidP="00A04ECB">
      <w:pPr>
        <w:spacing w:before="120" w:after="120" w:line="276" w:lineRule="auto"/>
        <w:jc w:val="both"/>
        <w:rPr>
          <w:rFonts w:ascii="Arial" w:hAnsi="Arial" w:cs="Arial"/>
          <w:sz w:val="20"/>
          <w:szCs w:val="20"/>
        </w:rPr>
      </w:pPr>
      <w:r w:rsidRPr="00CA6C0E">
        <w:rPr>
          <w:rFonts w:ascii="Arial" w:hAnsi="Arial" w:cs="Arial"/>
          <w:sz w:val="20"/>
          <w:szCs w:val="20"/>
        </w:rPr>
        <w:t>Územní opatření mj. stanovuje všechny podmínky a zmírňující opatření, které se v době zpracování územního opatření jeví jako nezbytné pro adekvátní ochranu veřejných zájmů, které by jinak (v případě nevymezení akcelerační oblasti a nestanovení těchto podmínek) byly hájeny podmínkami stanovenými ve správních úkonech podle § 13 odst. 2 a 4 ZOZE.</w:t>
      </w:r>
    </w:p>
    <w:p w14:paraId="7730AF67" w14:textId="48F7B30B" w:rsidR="007A4E97" w:rsidRPr="00CA6C0E" w:rsidRDefault="54050689" w:rsidP="00A04ECB">
      <w:pPr>
        <w:spacing w:before="120" w:after="120" w:line="276" w:lineRule="auto"/>
        <w:jc w:val="both"/>
        <w:rPr>
          <w:rFonts w:ascii="Arial" w:hAnsi="Arial" w:cs="Arial"/>
          <w:sz w:val="20"/>
          <w:szCs w:val="20"/>
        </w:rPr>
      </w:pPr>
      <w:r w:rsidRPr="54050689">
        <w:rPr>
          <w:rFonts w:ascii="Arial" w:hAnsi="Arial" w:cs="Arial"/>
          <w:sz w:val="20"/>
          <w:szCs w:val="20"/>
        </w:rPr>
        <w:t xml:space="preserve">Jako podklad pro návrh podmínek v územním opatření zajistil v předstihu orgán ochrany přírody (MŽP prostřednictvím zasmluvněného zpracovatele) zpracováním posouzení podle § 11 odst. 4 ZOZE. </w:t>
      </w:r>
      <w:bookmarkStart w:id="4" w:name="_Hlk214039085"/>
      <w:r w:rsidRPr="54050689">
        <w:rPr>
          <w:rFonts w:ascii="Arial" w:hAnsi="Arial" w:cs="Arial"/>
          <w:sz w:val="20"/>
          <w:szCs w:val="20"/>
        </w:rPr>
        <w:t xml:space="preserve">Expertní osobou zpracovatele byl Mgr. Michal </w:t>
      </w:r>
      <w:proofErr w:type="spellStart"/>
      <w:r w:rsidRPr="54050689">
        <w:rPr>
          <w:rFonts w:ascii="Arial" w:hAnsi="Arial" w:cs="Arial"/>
          <w:sz w:val="20"/>
          <w:szCs w:val="20"/>
        </w:rPr>
        <w:t>Kešner</w:t>
      </w:r>
      <w:proofErr w:type="spellEnd"/>
      <w:r w:rsidR="006252ED">
        <w:rPr>
          <w:rFonts w:ascii="Arial" w:hAnsi="Arial" w:cs="Arial"/>
          <w:sz w:val="20"/>
          <w:szCs w:val="20"/>
        </w:rPr>
        <w:t xml:space="preserve">, </w:t>
      </w:r>
      <w:proofErr w:type="spellStart"/>
      <w:r w:rsidR="006252ED">
        <w:rPr>
          <w:rFonts w:ascii="Arial" w:hAnsi="Arial" w:cs="Arial"/>
          <w:sz w:val="20"/>
          <w:szCs w:val="20"/>
        </w:rPr>
        <w:t>MSc</w:t>
      </w:r>
      <w:proofErr w:type="spellEnd"/>
      <w:r w:rsidRPr="54050689">
        <w:rPr>
          <w:rFonts w:ascii="Arial" w:hAnsi="Arial" w:cs="Arial"/>
          <w:sz w:val="20"/>
          <w:szCs w:val="20"/>
        </w:rPr>
        <w:t>. Posouzení bylo dokončeno k 10. 12. 2025</w:t>
      </w:r>
      <w:bookmarkEnd w:id="4"/>
      <w:r w:rsidRPr="54050689">
        <w:rPr>
          <w:rFonts w:ascii="Arial" w:hAnsi="Arial" w:cs="Arial"/>
          <w:sz w:val="20"/>
          <w:szCs w:val="20"/>
        </w:rPr>
        <w:t>. Posouzení pokrylo celou akcelerační oblast a zabývalo se výskytem volně žijících živočichů, planě rostoucích rostlin a přírodních stanovišť v posuzovaném území. Mezi dokončením posouzení a zahájením projednání návrhu územního opatření uplynula doba 5 měsíců.</w:t>
      </w:r>
    </w:p>
    <w:p w14:paraId="41689604" w14:textId="23B10640" w:rsidR="00664196" w:rsidRPr="00CA6C0E" w:rsidRDefault="00664196" w:rsidP="00A04ECB">
      <w:pPr>
        <w:spacing w:before="240" w:after="120" w:line="276" w:lineRule="auto"/>
        <w:jc w:val="both"/>
        <w:rPr>
          <w:rFonts w:ascii="Arial" w:hAnsi="Arial" w:cs="Arial"/>
          <w:sz w:val="20"/>
          <w:szCs w:val="20"/>
          <w:u w:val="single"/>
        </w:rPr>
      </w:pPr>
      <w:r w:rsidRPr="00CA6C0E">
        <w:rPr>
          <w:rFonts w:ascii="Arial" w:hAnsi="Arial" w:cs="Arial"/>
          <w:sz w:val="20"/>
          <w:szCs w:val="20"/>
          <w:u w:val="single"/>
        </w:rPr>
        <w:t>K jednotlivým stanoveným podmínkám:</w:t>
      </w:r>
    </w:p>
    <w:p w14:paraId="531A3383" w14:textId="51178264" w:rsidR="00456DE9" w:rsidRPr="00CC6148" w:rsidRDefault="00116089" w:rsidP="00116089">
      <w:pPr>
        <w:spacing w:after="120" w:line="276" w:lineRule="auto"/>
        <w:jc w:val="both"/>
        <w:rPr>
          <w:rFonts w:ascii="Arial" w:hAnsi="Arial" w:cs="Arial"/>
          <w:sz w:val="20"/>
          <w:szCs w:val="20"/>
        </w:rPr>
      </w:pPr>
      <w:r w:rsidRPr="00670AD9">
        <w:rPr>
          <w:rFonts w:ascii="Arial" w:hAnsi="Arial" w:cs="Arial"/>
          <w:sz w:val="20"/>
          <w:szCs w:val="20"/>
        </w:rPr>
        <w:t>Podmínk</w:t>
      </w:r>
      <w:r>
        <w:rPr>
          <w:rFonts w:ascii="Arial" w:hAnsi="Arial" w:cs="Arial"/>
          <w:sz w:val="20"/>
          <w:szCs w:val="20"/>
        </w:rPr>
        <w:t>a</w:t>
      </w:r>
      <w:r w:rsidRPr="00670AD9">
        <w:rPr>
          <w:rFonts w:ascii="Arial" w:hAnsi="Arial" w:cs="Arial"/>
          <w:sz w:val="20"/>
          <w:szCs w:val="20"/>
        </w:rPr>
        <w:t xml:space="preserve"> v odst. 3.1 písm. a) </w:t>
      </w:r>
      <w:r>
        <w:rPr>
          <w:rFonts w:ascii="Arial" w:hAnsi="Arial" w:cs="Arial"/>
          <w:sz w:val="20"/>
          <w:szCs w:val="20"/>
        </w:rPr>
        <w:t>je stanovena primárně k zajištění minimalizace vizuálních dopadů na krajinný ráz při současném umožnění výstavby kapacitních větrných elektráren. Nejvyšší bod akcelerační oblasti je ve výšce 570,5 m. n. m. (vrchol na severovýchodě akcelerační oblasti), nejnižší pak leží ve výšce 497,0 m. n. m. (v dobývacím prostoru v západní části akcelerační oblasti). Převážná většina akcelerační oblasti se nachází ve</w:t>
      </w:r>
      <w:r w:rsidR="00745C9A">
        <w:rPr>
          <w:rFonts w:ascii="Arial" w:hAnsi="Arial" w:cs="Arial"/>
          <w:sz w:val="20"/>
          <w:szCs w:val="20"/>
        </w:rPr>
        <w:t> </w:t>
      </w:r>
      <w:r>
        <w:rPr>
          <w:rFonts w:ascii="Arial" w:hAnsi="Arial" w:cs="Arial"/>
          <w:sz w:val="20"/>
          <w:szCs w:val="20"/>
        </w:rPr>
        <w:t>výškovém rozmezí 5</w:t>
      </w:r>
      <w:r w:rsidR="00745C9A">
        <w:rPr>
          <w:rFonts w:ascii="Arial" w:hAnsi="Arial" w:cs="Arial"/>
          <w:sz w:val="20"/>
          <w:szCs w:val="20"/>
        </w:rPr>
        <w:t>2</w:t>
      </w:r>
      <w:r>
        <w:rPr>
          <w:rFonts w:ascii="Arial" w:hAnsi="Arial" w:cs="Arial"/>
          <w:sz w:val="20"/>
          <w:szCs w:val="20"/>
        </w:rPr>
        <w:t>0–5</w:t>
      </w:r>
      <w:r w:rsidR="00745C9A">
        <w:rPr>
          <w:rFonts w:ascii="Arial" w:hAnsi="Arial" w:cs="Arial"/>
          <w:sz w:val="20"/>
          <w:szCs w:val="20"/>
        </w:rPr>
        <w:t>6</w:t>
      </w:r>
      <w:r>
        <w:rPr>
          <w:rFonts w:ascii="Arial" w:hAnsi="Arial" w:cs="Arial"/>
          <w:sz w:val="20"/>
          <w:szCs w:val="20"/>
        </w:rPr>
        <w:t>0</w:t>
      </w:r>
      <w:r w:rsidR="00745C9A">
        <w:rPr>
          <w:rFonts w:ascii="Arial" w:hAnsi="Arial" w:cs="Arial"/>
          <w:sz w:val="20"/>
          <w:szCs w:val="20"/>
        </w:rPr>
        <w:t> </w:t>
      </w:r>
      <w:r>
        <w:rPr>
          <w:rFonts w:ascii="Arial" w:hAnsi="Arial" w:cs="Arial"/>
          <w:sz w:val="20"/>
          <w:szCs w:val="20"/>
        </w:rPr>
        <w:t>m n. m., čemuž by odpovídala výška horní úvratě rotoru maximálně 7</w:t>
      </w:r>
      <w:r w:rsidR="00745C9A">
        <w:rPr>
          <w:rFonts w:ascii="Arial" w:hAnsi="Arial" w:cs="Arial"/>
          <w:sz w:val="20"/>
          <w:szCs w:val="20"/>
        </w:rPr>
        <w:t>7</w:t>
      </w:r>
      <w:r>
        <w:rPr>
          <w:rFonts w:ascii="Arial" w:hAnsi="Arial" w:cs="Arial"/>
          <w:sz w:val="20"/>
          <w:szCs w:val="20"/>
        </w:rPr>
        <w:t>0–8</w:t>
      </w:r>
      <w:r w:rsidR="00745C9A">
        <w:rPr>
          <w:rFonts w:ascii="Arial" w:hAnsi="Arial" w:cs="Arial"/>
          <w:sz w:val="20"/>
          <w:szCs w:val="20"/>
        </w:rPr>
        <w:t>1</w:t>
      </w:r>
      <w:r>
        <w:rPr>
          <w:rFonts w:ascii="Arial" w:hAnsi="Arial" w:cs="Arial"/>
          <w:sz w:val="20"/>
          <w:szCs w:val="20"/>
        </w:rPr>
        <w:t>0</w:t>
      </w:r>
      <w:r w:rsidR="00745C9A">
        <w:rPr>
          <w:rFonts w:ascii="Arial" w:hAnsi="Arial" w:cs="Arial"/>
          <w:sz w:val="20"/>
          <w:szCs w:val="20"/>
        </w:rPr>
        <w:t> </w:t>
      </w:r>
      <w:r>
        <w:rPr>
          <w:rFonts w:ascii="Arial" w:hAnsi="Arial" w:cs="Arial"/>
          <w:sz w:val="20"/>
          <w:szCs w:val="20"/>
        </w:rPr>
        <w:t>m. n. m. Na trhu je k dispozici vícero typů větrných elektráren o výšce od terénu po horní úvrať listů rotorů kolem 245 m, tedy s rezervou méně, než 250 m. Omezení výšky větrných elektráren zároveň znamená jistotu a</w:t>
      </w:r>
      <w:r w:rsidR="00745C9A">
        <w:rPr>
          <w:rFonts w:ascii="Arial" w:hAnsi="Arial" w:cs="Arial"/>
          <w:sz w:val="20"/>
          <w:szCs w:val="20"/>
        </w:rPr>
        <w:t> </w:t>
      </w:r>
      <w:r>
        <w:rPr>
          <w:rFonts w:ascii="Arial" w:hAnsi="Arial" w:cs="Arial"/>
          <w:sz w:val="20"/>
          <w:szCs w:val="20"/>
        </w:rPr>
        <w:t>předvídatelnost i</w:t>
      </w:r>
      <w:r w:rsidR="00745C9A">
        <w:rPr>
          <w:rFonts w:ascii="Arial" w:hAnsi="Arial" w:cs="Arial"/>
          <w:sz w:val="20"/>
          <w:szCs w:val="20"/>
        </w:rPr>
        <w:t> </w:t>
      </w:r>
      <w:r>
        <w:rPr>
          <w:rFonts w:ascii="Arial" w:hAnsi="Arial" w:cs="Arial"/>
          <w:sz w:val="20"/>
          <w:szCs w:val="20"/>
        </w:rPr>
        <w:t xml:space="preserve">z hlediska zajištění bezpečnosti letového provozu. Dále </w:t>
      </w:r>
      <w:r w:rsidR="008409CB">
        <w:rPr>
          <w:rFonts w:ascii="Arial" w:hAnsi="Arial" w:cs="Arial"/>
          <w:sz w:val="20"/>
          <w:szCs w:val="20"/>
        </w:rPr>
        <w:t xml:space="preserve">byl </w:t>
      </w:r>
      <w:r>
        <w:rPr>
          <w:rFonts w:ascii="Arial" w:hAnsi="Arial" w:cs="Arial"/>
          <w:sz w:val="20"/>
          <w:szCs w:val="20"/>
        </w:rPr>
        <w:t xml:space="preserve">při vymezování akcelerační oblasti v související změně ÚRP </w:t>
      </w:r>
      <w:r w:rsidR="008409CB">
        <w:rPr>
          <w:rFonts w:ascii="Arial" w:hAnsi="Arial" w:cs="Arial"/>
          <w:sz w:val="20"/>
          <w:szCs w:val="20"/>
        </w:rPr>
        <w:t>pr</w:t>
      </w:r>
      <w:r>
        <w:rPr>
          <w:rFonts w:ascii="Arial" w:hAnsi="Arial" w:cs="Arial"/>
          <w:sz w:val="20"/>
          <w:szCs w:val="20"/>
        </w:rPr>
        <w:t>ověřen</w:t>
      </w:r>
      <w:r w:rsidR="008409CB">
        <w:rPr>
          <w:rFonts w:ascii="Arial" w:hAnsi="Arial" w:cs="Arial"/>
          <w:sz w:val="20"/>
          <w:szCs w:val="20"/>
        </w:rPr>
        <w:t xml:space="preserve"> vliv na </w:t>
      </w:r>
      <w:r w:rsidR="008409CB" w:rsidRPr="008409CB">
        <w:rPr>
          <w:rFonts w:ascii="Arial" w:hAnsi="Arial" w:cs="Arial"/>
          <w:sz w:val="20"/>
          <w:szCs w:val="20"/>
        </w:rPr>
        <w:t>Klášter Plasy</w:t>
      </w:r>
      <w:r w:rsidR="008409CB">
        <w:rPr>
          <w:rFonts w:ascii="Arial" w:hAnsi="Arial" w:cs="Arial"/>
          <w:sz w:val="20"/>
          <w:szCs w:val="20"/>
        </w:rPr>
        <w:t>, národní kulturní památku s </w:t>
      </w:r>
      <w:r w:rsidR="008409CB" w:rsidRPr="003352C4">
        <w:rPr>
          <w:rFonts w:ascii="Arial" w:hAnsi="Arial" w:cs="Arial"/>
          <w:sz w:val="20"/>
          <w:szCs w:val="20"/>
        </w:rPr>
        <w:t>rejstříkov</w:t>
      </w:r>
      <w:r w:rsidR="008409CB">
        <w:rPr>
          <w:rFonts w:ascii="Arial" w:hAnsi="Arial" w:cs="Arial"/>
          <w:sz w:val="20"/>
          <w:szCs w:val="20"/>
        </w:rPr>
        <w:t>ým</w:t>
      </w:r>
      <w:r w:rsidR="008409CB" w:rsidRPr="003352C4">
        <w:rPr>
          <w:rFonts w:ascii="Arial" w:hAnsi="Arial" w:cs="Arial"/>
          <w:sz w:val="20"/>
          <w:szCs w:val="20"/>
        </w:rPr>
        <w:t xml:space="preserve"> čísl</w:t>
      </w:r>
      <w:r w:rsidR="008409CB">
        <w:rPr>
          <w:rFonts w:ascii="Arial" w:hAnsi="Arial" w:cs="Arial"/>
          <w:sz w:val="20"/>
          <w:szCs w:val="20"/>
        </w:rPr>
        <w:t>em</w:t>
      </w:r>
      <w:r w:rsidR="008409CB" w:rsidRPr="003352C4">
        <w:rPr>
          <w:rFonts w:ascii="Arial" w:hAnsi="Arial" w:cs="Arial"/>
          <w:sz w:val="20"/>
          <w:szCs w:val="20"/>
        </w:rPr>
        <w:t xml:space="preserve"> USKP </w:t>
      </w:r>
      <w:r w:rsidR="008409CB">
        <w:rPr>
          <w:rFonts w:ascii="Arial" w:hAnsi="Arial" w:cs="Arial"/>
          <w:sz w:val="20"/>
          <w:szCs w:val="20"/>
        </w:rPr>
        <w:t>200, kter</w:t>
      </w:r>
      <w:r w:rsidR="00456DE9">
        <w:rPr>
          <w:rFonts w:ascii="Arial" w:hAnsi="Arial" w:cs="Arial"/>
          <w:sz w:val="20"/>
          <w:szCs w:val="20"/>
        </w:rPr>
        <w:t>ý</w:t>
      </w:r>
      <w:r w:rsidR="008409CB">
        <w:rPr>
          <w:rFonts w:ascii="Arial" w:hAnsi="Arial" w:cs="Arial"/>
          <w:sz w:val="20"/>
          <w:szCs w:val="20"/>
        </w:rPr>
        <w:t xml:space="preserve"> je od akcelerační oblasti vzdálená asi 12,5 km na severovýchod</w:t>
      </w:r>
      <w:r w:rsidR="00456DE9">
        <w:rPr>
          <w:rFonts w:ascii="Arial" w:hAnsi="Arial" w:cs="Arial"/>
          <w:sz w:val="20"/>
          <w:szCs w:val="20"/>
        </w:rPr>
        <w:t xml:space="preserve">, dále </w:t>
      </w:r>
      <w:r w:rsidR="00456DE9" w:rsidRPr="00456DE9">
        <w:rPr>
          <w:rFonts w:ascii="Arial" w:hAnsi="Arial" w:cs="Arial"/>
          <w:sz w:val="20"/>
          <w:szCs w:val="20"/>
        </w:rPr>
        <w:t xml:space="preserve">Hradiště </w:t>
      </w:r>
      <w:r w:rsidR="00456DE9">
        <w:rPr>
          <w:rFonts w:ascii="Arial" w:hAnsi="Arial" w:cs="Arial"/>
          <w:sz w:val="20"/>
          <w:szCs w:val="20"/>
        </w:rPr>
        <w:t>–</w:t>
      </w:r>
      <w:r w:rsidR="00456DE9" w:rsidRPr="00456DE9">
        <w:rPr>
          <w:rFonts w:ascii="Arial" w:hAnsi="Arial" w:cs="Arial"/>
          <w:sz w:val="20"/>
          <w:szCs w:val="20"/>
        </w:rPr>
        <w:t xml:space="preserve"> Hradišťský kopec</w:t>
      </w:r>
      <w:r w:rsidR="00456DE9">
        <w:rPr>
          <w:rFonts w:ascii="Arial" w:hAnsi="Arial" w:cs="Arial"/>
          <w:sz w:val="20"/>
          <w:szCs w:val="20"/>
        </w:rPr>
        <w:t>, národní kulturní památku s </w:t>
      </w:r>
      <w:r w:rsidR="00456DE9" w:rsidRPr="003352C4">
        <w:rPr>
          <w:rFonts w:ascii="Arial" w:hAnsi="Arial" w:cs="Arial"/>
          <w:sz w:val="20"/>
          <w:szCs w:val="20"/>
        </w:rPr>
        <w:t>rejstříkov</w:t>
      </w:r>
      <w:r w:rsidR="00456DE9">
        <w:rPr>
          <w:rFonts w:ascii="Arial" w:hAnsi="Arial" w:cs="Arial"/>
          <w:sz w:val="20"/>
          <w:szCs w:val="20"/>
        </w:rPr>
        <w:t>ým</w:t>
      </w:r>
      <w:r w:rsidR="00456DE9" w:rsidRPr="003352C4">
        <w:rPr>
          <w:rFonts w:ascii="Arial" w:hAnsi="Arial" w:cs="Arial"/>
          <w:sz w:val="20"/>
          <w:szCs w:val="20"/>
        </w:rPr>
        <w:t xml:space="preserve"> čísl</w:t>
      </w:r>
      <w:r w:rsidR="00456DE9">
        <w:rPr>
          <w:rFonts w:ascii="Arial" w:hAnsi="Arial" w:cs="Arial"/>
          <w:sz w:val="20"/>
          <w:szCs w:val="20"/>
        </w:rPr>
        <w:t>em</w:t>
      </w:r>
      <w:r w:rsidR="00456DE9" w:rsidRPr="003352C4">
        <w:rPr>
          <w:rFonts w:ascii="Arial" w:hAnsi="Arial" w:cs="Arial"/>
          <w:sz w:val="20"/>
          <w:szCs w:val="20"/>
        </w:rPr>
        <w:t xml:space="preserve"> USKP </w:t>
      </w:r>
      <w:r w:rsidR="00456DE9">
        <w:rPr>
          <w:rFonts w:ascii="Arial" w:hAnsi="Arial" w:cs="Arial"/>
          <w:sz w:val="20"/>
          <w:szCs w:val="20"/>
        </w:rPr>
        <w:t>203, které je od akcelerační oblasti vzdáleno asi 14,7 km severozápadně, a rovněž na </w:t>
      </w:r>
      <w:r w:rsidR="00456DE9" w:rsidRPr="00456DE9">
        <w:rPr>
          <w:rFonts w:ascii="Arial" w:hAnsi="Arial" w:cs="Arial"/>
          <w:sz w:val="20"/>
          <w:szCs w:val="20"/>
        </w:rPr>
        <w:t xml:space="preserve">Slovanské hradiště a mohylové pohřebiště u </w:t>
      </w:r>
      <w:proofErr w:type="spellStart"/>
      <w:r w:rsidR="00456DE9" w:rsidRPr="00456DE9">
        <w:rPr>
          <w:rFonts w:ascii="Arial" w:hAnsi="Arial" w:cs="Arial"/>
          <w:sz w:val="20"/>
          <w:szCs w:val="20"/>
        </w:rPr>
        <w:t>Bezemína</w:t>
      </w:r>
      <w:proofErr w:type="spellEnd"/>
      <w:r w:rsidR="00456DE9">
        <w:rPr>
          <w:rFonts w:ascii="Arial" w:hAnsi="Arial" w:cs="Arial"/>
          <w:sz w:val="20"/>
          <w:szCs w:val="20"/>
        </w:rPr>
        <w:t>-</w:t>
      </w:r>
      <w:r w:rsidR="00456DE9" w:rsidRPr="00456DE9">
        <w:rPr>
          <w:rFonts w:ascii="Arial" w:hAnsi="Arial" w:cs="Arial"/>
          <w:sz w:val="20"/>
          <w:szCs w:val="20"/>
        </w:rPr>
        <w:t>Cebivi</w:t>
      </w:r>
      <w:r w:rsidR="00456DE9">
        <w:rPr>
          <w:rFonts w:ascii="Arial" w:hAnsi="Arial" w:cs="Arial"/>
          <w:sz w:val="20"/>
          <w:szCs w:val="20"/>
        </w:rPr>
        <w:t>, národní kulturní památku s </w:t>
      </w:r>
      <w:r w:rsidR="00456DE9" w:rsidRPr="003352C4">
        <w:rPr>
          <w:rFonts w:ascii="Arial" w:hAnsi="Arial" w:cs="Arial"/>
          <w:sz w:val="20"/>
          <w:szCs w:val="20"/>
        </w:rPr>
        <w:t>rejstříkov</w:t>
      </w:r>
      <w:r w:rsidR="00456DE9">
        <w:rPr>
          <w:rFonts w:ascii="Arial" w:hAnsi="Arial" w:cs="Arial"/>
          <w:sz w:val="20"/>
          <w:szCs w:val="20"/>
        </w:rPr>
        <w:t>ým</w:t>
      </w:r>
      <w:r w:rsidR="00456DE9" w:rsidRPr="003352C4">
        <w:rPr>
          <w:rFonts w:ascii="Arial" w:hAnsi="Arial" w:cs="Arial"/>
          <w:sz w:val="20"/>
          <w:szCs w:val="20"/>
        </w:rPr>
        <w:t xml:space="preserve"> čísl</w:t>
      </w:r>
      <w:r w:rsidR="00456DE9">
        <w:rPr>
          <w:rFonts w:ascii="Arial" w:hAnsi="Arial" w:cs="Arial"/>
          <w:sz w:val="20"/>
          <w:szCs w:val="20"/>
        </w:rPr>
        <w:t>em</w:t>
      </w:r>
      <w:r w:rsidR="00456DE9" w:rsidRPr="003352C4">
        <w:rPr>
          <w:rFonts w:ascii="Arial" w:hAnsi="Arial" w:cs="Arial"/>
          <w:sz w:val="20"/>
          <w:szCs w:val="20"/>
        </w:rPr>
        <w:t xml:space="preserve"> USKP </w:t>
      </w:r>
      <w:r w:rsidR="00456DE9">
        <w:rPr>
          <w:rFonts w:ascii="Arial" w:hAnsi="Arial" w:cs="Arial"/>
          <w:sz w:val="20"/>
          <w:szCs w:val="20"/>
        </w:rPr>
        <w:t xml:space="preserve">201 vzdálenou asi 12,2 km západně od akcelerační oblasti. Vliv na tyto památky se nepředpokládá. Rovněž </w:t>
      </w:r>
      <w:r w:rsidR="00C85F61">
        <w:rPr>
          <w:rFonts w:ascii="Arial" w:hAnsi="Arial" w:cs="Arial"/>
          <w:sz w:val="20"/>
          <w:szCs w:val="20"/>
        </w:rPr>
        <w:t xml:space="preserve">byl prověřen vliv </w:t>
      </w:r>
      <w:r w:rsidR="00456DE9">
        <w:rPr>
          <w:rFonts w:ascii="Arial" w:hAnsi="Arial" w:cs="Arial"/>
          <w:sz w:val="20"/>
          <w:szCs w:val="20"/>
        </w:rPr>
        <w:t>na </w:t>
      </w:r>
      <w:r w:rsidR="00C85F61">
        <w:rPr>
          <w:rFonts w:ascii="Arial" w:hAnsi="Arial" w:cs="Arial"/>
          <w:sz w:val="20"/>
          <w:szCs w:val="20"/>
        </w:rPr>
        <w:t xml:space="preserve">významný vyhlídkový bod směrem k akcelerační oblasti stanovený v územní studii sídelní zeleně města Plasy jako součást krajinné památkové zóny </w:t>
      </w:r>
      <w:proofErr w:type="spellStart"/>
      <w:r w:rsidR="00C85F61">
        <w:rPr>
          <w:rFonts w:ascii="Arial" w:hAnsi="Arial" w:cs="Arial"/>
          <w:sz w:val="20"/>
          <w:szCs w:val="20"/>
        </w:rPr>
        <w:t>Plasko</w:t>
      </w:r>
      <w:proofErr w:type="spellEnd"/>
      <w:r w:rsidR="00C85F61">
        <w:rPr>
          <w:rFonts w:ascii="Arial" w:hAnsi="Arial" w:cs="Arial"/>
          <w:sz w:val="20"/>
          <w:szCs w:val="20"/>
        </w:rPr>
        <w:t xml:space="preserve"> (</w:t>
      </w:r>
      <w:hyperlink r:id="rId9" w:history="1">
        <w:r w:rsidR="00C85F61" w:rsidRPr="00CB49C7">
          <w:rPr>
            <w:rStyle w:val="Hypertextovodkaz"/>
            <w:rFonts w:ascii="Arial" w:hAnsi="Arial" w:cs="Arial"/>
            <w:color w:val="auto"/>
            <w:sz w:val="20"/>
            <w:szCs w:val="20"/>
            <w:u w:val="none"/>
          </w:rPr>
          <w:t xml:space="preserve">Studie systému zeleně města Plasy jako součást krajinné památkové zóny </w:t>
        </w:r>
        <w:proofErr w:type="spellStart"/>
        <w:r w:rsidR="00C85F61" w:rsidRPr="00037E5C">
          <w:rPr>
            <w:rStyle w:val="Hypertextovodkaz"/>
            <w:rFonts w:ascii="Arial" w:hAnsi="Arial" w:cs="Arial"/>
            <w:color w:val="auto"/>
            <w:sz w:val="20"/>
            <w:szCs w:val="20"/>
          </w:rPr>
          <w:t>Plasko</w:t>
        </w:r>
        <w:proofErr w:type="spellEnd"/>
      </w:hyperlink>
      <w:r w:rsidR="00C85F61" w:rsidRPr="00CC6148">
        <w:rPr>
          <w:rFonts w:ascii="Arial" w:hAnsi="Arial" w:cs="Arial"/>
          <w:sz w:val="20"/>
          <w:szCs w:val="20"/>
        </w:rPr>
        <w:t>), vliv lze vyloučit.</w:t>
      </w:r>
    </w:p>
    <w:p w14:paraId="70101120" w14:textId="30385976" w:rsidR="008366E3" w:rsidRPr="00CA6C0E" w:rsidRDefault="0025271A" w:rsidP="00A04ECB">
      <w:pPr>
        <w:spacing w:after="120" w:line="276" w:lineRule="auto"/>
        <w:jc w:val="both"/>
        <w:rPr>
          <w:rFonts w:ascii="Arial" w:hAnsi="Arial" w:cs="Arial"/>
          <w:sz w:val="20"/>
          <w:szCs w:val="20"/>
        </w:rPr>
      </w:pPr>
      <w:r w:rsidRPr="00CA6C0E">
        <w:rPr>
          <w:rFonts w:ascii="Arial" w:hAnsi="Arial" w:cs="Arial"/>
          <w:sz w:val="20"/>
          <w:szCs w:val="20"/>
        </w:rPr>
        <w:t>Podmínka v odst. 3</w:t>
      </w:r>
      <w:r w:rsidR="00406D1B" w:rsidRPr="00CA6C0E">
        <w:rPr>
          <w:rFonts w:ascii="Arial" w:hAnsi="Arial" w:cs="Arial"/>
          <w:sz w:val="20"/>
          <w:szCs w:val="20"/>
        </w:rPr>
        <w:t>.1</w:t>
      </w:r>
      <w:r w:rsidRPr="00CA6C0E">
        <w:rPr>
          <w:rFonts w:ascii="Arial" w:hAnsi="Arial" w:cs="Arial"/>
          <w:sz w:val="20"/>
          <w:szCs w:val="20"/>
        </w:rPr>
        <w:t xml:space="preserve"> písm. </w:t>
      </w:r>
      <w:r w:rsidR="00EA3EF7" w:rsidRPr="00CA6C0E">
        <w:rPr>
          <w:rFonts w:ascii="Arial" w:hAnsi="Arial" w:cs="Arial"/>
          <w:sz w:val="20"/>
          <w:szCs w:val="20"/>
        </w:rPr>
        <w:t>b</w:t>
      </w:r>
      <w:r w:rsidRPr="00CA6C0E">
        <w:rPr>
          <w:rFonts w:ascii="Arial" w:hAnsi="Arial" w:cs="Arial"/>
          <w:sz w:val="20"/>
          <w:szCs w:val="20"/>
        </w:rPr>
        <w:t>)</w:t>
      </w:r>
      <w:r w:rsidR="008366E3" w:rsidRPr="00CA6C0E">
        <w:rPr>
          <w:rFonts w:ascii="Arial" w:hAnsi="Arial" w:cs="Arial"/>
          <w:sz w:val="20"/>
          <w:szCs w:val="20"/>
        </w:rPr>
        <w:t xml:space="preserve"> je stanovena </w:t>
      </w:r>
      <w:bookmarkStart w:id="5" w:name="_Hlk214039489"/>
      <w:r w:rsidR="008366E3" w:rsidRPr="00CA6C0E">
        <w:rPr>
          <w:rFonts w:ascii="Arial" w:hAnsi="Arial" w:cs="Arial"/>
          <w:sz w:val="20"/>
          <w:szCs w:val="20"/>
        </w:rPr>
        <w:t xml:space="preserve">za účelem </w:t>
      </w:r>
      <w:bookmarkStart w:id="6" w:name="_Hlk214968156"/>
      <w:r w:rsidR="00580284" w:rsidRPr="00CA6C0E">
        <w:rPr>
          <w:rFonts w:ascii="Arial" w:hAnsi="Arial" w:cs="Arial"/>
          <w:sz w:val="20"/>
          <w:szCs w:val="20"/>
        </w:rPr>
        <w:t>ochrany nemovitých kulturních památek a</w:t>
      </w:r>
      <w:bookmarkEnd w:id="6"/>
      <w:r w:rsidR="00F17768" w:rsidRPr="00CA6C0E">
        <w:rPr>
          <w:rFonts w:ascii="Arial" w:hAnsi="Arial" w:cs="Arial"/>
          <w:sz w:val="20"/>
          <w:szCs w:val="20"/>
        </w:rPr>
        <w:t> </w:t>
      </w:r>
      <w:r w:rsidR="008366E3" w:rsidRPr="00CA6C0E">
        <w:rPr>
          <w:rFonts w:ascii="Arial" w:hAnsi="Arial" w:cs="Arial"/>
          <w:sz w:val="20"/>
          <w:szCs w:val="20"/>
        </w:rPr>
        <w:t xml:space="preserve">nepřekročení přijatelné míry vlivu realizovaných úložišť elektřiny, která splňují definici záměru OZE, na krajinný ráz. Zařízení pro ukládání elektřiny mají obvykle podobu jednoho nebo více lodních </w:t>
      </w:r>
      <w:r w:rsidR="008366E3" w:rsidRPr="00CA6C0E">
        <w:rPr>
          <w:rFonts w:ascii="Arial" w:hAnsi="Arial" w:cs="Arial"/>
          <w:sz w:val="20"/>
          <w:szCs w:val="20"/>
        </w:rPr>
        <w:lastRenderedPageBreak/>
        <w:t>kontejnerů, často v oploceném areálu, přičemž kapacita jednotlivých realizovaných úložišť, a tím i jejich plošná výměra, se v posledních letech dynamicky zvyšuje. Z toho důvodu je stanovena limitní plošná výměra areálů se stavbami/zařízeními pro skladování elektřiny, a to jednak pro 1 záměr OZE, a rovněž pro celou akcelerační oblast dohromady. Výškový limit je stanoven primárně jako pojistka proti stohování kontejnerů do výšky, což je jev známý z kontejnerových překladišť, který by ovlivnil estetické kvality území nevhodným způsobem. Je stanoven dostatečně vysoko na to, aby jej jednotlivý kontejner i při osazení na soklu na mírně svažitém terénu bez obtíží splnil, a aby umožnil i jiné, krajinářsky citlivější řešení, např. umístění zařízení pro skladování elektřiny v budovách s jinou než rovnou střechou</w:t>
      </w:r>
      <w:bookmarkEnd w:id="5"/>
      <w:r w:rsidR="008366E3" w:rsidRPr="00CA6C0E">
        <w:rPr>
          <w:rFonts w:ascii="Arial" w:hAnsi="Arial" w:cs="Arial"/>
          <w:sz w:val="20"/>
          <w:szCs w:val="20"/>
        </w:rPr>
        <w:t>.</w:t>
      </w:r>
    </w:p>
    <w:p w14:paraId="440894DF" w14:textId="5E7213F1" w:rsidR="008366E3" w:rsidRPr="00CA6C0E" w:rsidRDefault="000247D2" w:rsidP="00A04ECB">
      <w:pPr>
        <w:pStyle w:val="Zkladntext"/>
        <w:spacing w:line="276" w:lineRule="auto"/>
        <w:jc w:val="both"/>
      </w:pPr>
      <w:r w:rsidRPr="00CA6C0E">
        <w:t>Podmínka v odst. 3</w:t>
      </w:r>
      <w:r w:rsidR="00406D1B" w:rsidRPr="00CA6C0E">
        <w:t>.1</w:t>
      </w:r>
      <w:r w:rsidRPr="00CA6C0E">
        <w:t xml:space="preserve"> písm. </w:t>
      </w:r>
      <w:r w:rsidR="00EA3EF7" w:rsidRPr="00CA6C0E">
        <w:t>c</w:t>
      </w:r>
      <w:r w:rsidR="006472B1" w:rsidRPr="00CA6C0E">
        <w:t>)</w:t>
      </w:r>
      <w:r w:rsidR="00EA3EF7" w:rsidRPr="00CA6C0E">
        <w:t xml:space="preserve"> </w:t>
      </w:r>
      <w:r w:rsidR="008366E3" w:rsidRPr="00CA6C0E">
        <w:t xml:space="preserve">je </w:t>
      </w:r>
      <w:bookmarkStart w:id="7" w:name="_Hlk214039545"/>
      <w:r w:rsidR="008366E3" w:rsidRPr="00CA6C0E">
        <w:t xml:space="preserve">komplementární k ostatním požadavkům zaměřeným na ochranu krajinného rázu. Jejím hlavním účelem je minimalizace negativních vizuálních dopadů a rušivých vlivů souvisejících s realizací záměru, zejména pak zajištění harmonického začlenění vedlejších staveb elektrárny do stávající krajinné struktury. Podmínka sleduje cíl zachovat krajinný ráz zemědělsky </w:t>
      </w:r>
      <w:r w:rsidR="001348F6" w:rsidRPr="00CA6C0E">
        <w:t>extenzivně o</w:t>
      </w:r>
      <w:r w:rsidR="008366E3" w:rsidRPr="00CA6C0E">
        <w:t xml:space="preserve">bhospodařované </w:t>
      </w:r>
      <w:r w:rsidR="001348F6" w:rsidRPr="00CA6C0E">
        <w:t>horsk</w:t>
      </w:r>
      <w:r w:rsidR="000100B6" w:rsidRPr="00CA6C0E">
        <w:t>é</w:t>
      </w:r>
      <w:r w:rsidR="008366E3" w:rsidRPr="00CA6C0E">
        <w:t xml:space="preserve"> krajiny, z tohoto důvodu je kladen důraz na</w:t>
      </w:r>
      <w:r w:rsidR="00063E6C" w:rsidRPr="00CA6C0E">
        <w:t>:</w:t>
      </w:r>
    </w:p>
    <w:p w14:paraId="1844028F" w14:textId="576E3C70" w:rsidR="008366E3" w:rsidRPr="00CA6C0E" w:rsidRDefault="008366E3" w:rsidP="00A04ECB">
      <w:pPr>
        <w:pStyle w:val="Zkladntext"/>
        <w:numPr>
          <w:ilvl w:val="0"/>
          <w:numId w:val="18"/>
        </w:numPr>
        <w:spacing w:line="276" w:lineRule="auto"/>
        <w:jc w:val="both"/>
      </w:pPr>
      <w:r w:rsidRPr="00CA6C0E">
        <w:t>Použití matných povrchových úprav – ty mají eliminovat odlesky a vizuálně rušivé jevy za</w:t>
      </w:r>
      <w:r w:rsidR="00F17768" w:rsidRPr="00CA6C0E">
        <w:t> </w:t>
      </w:r>
      <w:r w:rsidRPr="00CA6C0E">
        <w:t>slunečného počasí.</w:t>
      </w:r>
    </w:p>
    <w:p w14:paraId="0422EFBC" w14:textId="77777777" w:rsidR="008366E3" w:rsidRPr="00CA6C0E" w:rsidRDefault="008366E3" w:rsidP="00A04ECB">
      <w:pPr>
        <w:pStyle w:val="Zkladntext"/>
        <w:numPr>
          <w:ilvl w:val="0"/>
          <w:numId w:val="18"/>
        </w:numPr>
        <w:spacing w:line="276" w:lineRule="auto"/>
        <w:jc w:val="both"/>
      </w:pPr>
      <w:r w:rsidRPr="00CA6C0E">
        <w:t>Volbu tlumených, přírodních a neutrálních odstínů u vedlejších staveb a technických prvků – cílem je dosažení vizuálního souladu s okolní krajinou a potlačení kontrastů.</w:t>
      </w:r>
    </w:p>
    <w:p w14:paraId="4B53B339" w14:textId="31C2432D" w:rsidR="008366E3" w:rsidRPr="00CA6C0E" w:rsidRDefault="008366E3" w:rsidP="00A04ECB">
      <w:pPr>
        <w:spacing w:after="120" w:line="276" w:lineRule="auto"/>
        <w:jc w:val="both"/>
        <w:rPr>
          <w:rFonts w:ascii="Arial" w:hAnsi="Arial" w:cs="Arial"/>
          <w:kern w:val="2"/>
          <w:sz w:val="20"/>
          <w:szCs w:val="20"/>
        </w:rPr>
      </w:pPr>
      <w:r w:rsidRPr="00CA6C0E">
        <w:rPr>
          <w:rFonts w:ascii="Arial" w:hAnsi="Arial" w:cs="Arial"/>
          <w:kern w:val="2"/>
          <w:sz w:val="20"/>
          <w:szCs w:val="20"/>
        </w:rPr>
        <w:t xml:space="preserve">Pohledově exponovaný charakter lokality, zejména </w:t>
      </w:r>
      <w:r w:rsidR="000100B6" w:rsidRPr="00CA6C0E">
        <w:rPr>
          <w:rFonts w:ascii="Arial" w:hAnsi="Arial" w:cs="Arial"/>
          <w:kern w:val="2"/>
          <w:sz w:val="20"/>
          <w:szCs w:val="20"/>
        </w:rPr>
        <w:t>ze</w:t>
      </w:r>
      <w:r w:rsidR="006B2B3D" w:rsidRPr="00CA6C0E">
        <w:rPr>
          <w:rFonts w:ascii="Arial" w:hAnsi="Arial" w:cs="Arial"/>
          <w:kern w:val="2"/>
          <w:sz w:val="20"/>
          <w:szCs w:val="20"/>
        </w:rPr>
        <w:t xml:space="preserve"> sídel Zahrádka, </w:t>
      </w:r>
      <w:proofErr w:type="spellStart"/>
      <w:r w:rsidR="006B2B3D" w:rsidRPr="00CA6C0E">
        <w:rPr>
          <w:rFonts w:ascii="Arial" w:hAnsi="Arial" w:cs="Arial"/>
          <w:kern w:val="2"/>
          <w:sz w:val="20"/>
          <w:szCs w:val="20"/>
        </w:rPr>
        <w:t>Mostice</w:t>
      </w:r>
      <w:proofErr w:type="spellEnd"/>
      <w:r w:rsidR="006B2B3D" w:rsidRPr="00CA6C0E">
        <w:rPr>
          <w:rFonts w:ascii="Arial" w:hAnsi="Arial" w:cs="Arial"/>
          <w:kern w:val="2"/>
          <w:sz w:val="20"/>
          <w:szCs w:val="20"/>
        </w:rPr>
        <w:t>, Hubenov, Lhotka a Kunějovice</w:t>
      </w:r>
      <w:r w:rsidR="000100B6" w:rsidRPr="00CA6C0E">
        <w:rPr>
          <w:rFonts w:ascii="Arial" w:hAnsi="Arial" w:cs="Arial"/>
          <w:kern w:val="2"/>
          <w:sz w:val="20"/>
          <w:szCs w:val="20"/>
        </w:rPr>
        <w:t xml:space="preserve">, </w:t>
      </w:r>
      <w:r w:rsidRPr="00CA6C0E">
        <w:rPr>
          <w:rFonts w:ascii="Arial" w:hAnsi="Arial" w:cs="Arial"/>
          <w:kern w:val="2"/>
          <w:sz w:val="20"/>
          <w:szCs w:val="20"/>
        </w:rPr>
        <w:t>vyžaduje obzvláště citlivý přístup k umisťování stavebních a technických prvků. Výše uvedené požadavky jsou proto nezbytné k ochraně estetických a kulturních hodnot území, k udržení integrity krajinného rázu a k naplnění principů udržitelného rozvoje.</w:t>
      </w:r>
      <w:bookmarkEnd w:id="7"/>
    </w:p>
    <w:p w14:paraId="0B31A968" w14:textId="6797A27A" w:rsidR="006A7C01" w:rsidRPr="00CA6C0E" w:rsidRDefault="006A7C01" w:rsidP="00A04ECB">
      <w:pPr>
        <w:spacing w:after="120" w:line="276" w:lineRule="auto"/>
        <w:jc w:val="both"/>
        <w:rPr>
          <w:rFonts w:ascii="Arial" w:hAnsi="Arial" w:cs="Arial"/>
          <w:sz w:val="20"/>
          <w:szCs w:val="20"/>
        </w:rPr>
      </w:pPr>
      <w:r w:rsidRPr="00CA6C0E">
        <w:rPr>
          <w:rFonts w:ascii="Arial" w:hAnsi="Arial" w:cs="Arial"/>
          <w:sz w:val="20"/>
          <w:szCs w:val="20"/>
        </w:rPr>
        <w:t xml:space="preserve">Podmínka v odst. 3.1 písm. d) </w:t>
      </w:r>
      <w:r w:rsidR="008366E3" w:rsidRPr="00CA6C0E">
        <w:rPr>
          <w:rFonts w:ascii="Arial" w:hAnsi="Arial" w:cs="Arial"/>
          <w:sz w:val="20"/>
          <w:szCs w:val="20"/>
        </w:rPr>
        <w:t xml:space="preserve">je </w:t>
      </w:r>
      <w:bookmarkStart w:id="8" w:name="_Hlk214039827"/>
      <w:r w:rsidR="008366E3" w:rsidRPr="00CA6C0E">
        <w:rPr>
          <w:rFonts w:ascii="Arial" w:hAnsi="Arial" w:cs="Arial"/>
          <w:sz w:val="20"/>
          <w:szCs w:val="20"/>
        </w:rPr>
        <w:t>komplementární k dalším podmínkám z oblasti ochrany krajinného rázu a jejím smyslem je zajistit, aby v akcelerační oblasti nebyly v souvislosti s výstavbou záměrů OZE prováděny terénní úpravy, které by výrazným způsobem měnily dosavadní morfologii terénu. Podmínka má rovněž pozitivní vliv na zajištění minimalizace dopadů výstavby záměrů OZE na vodní režim v území</w:t>
      </w:r>
      <w:bookmarkEnd w:id="8"/>
      <w:r w:rsidR="006F75EE" w:rsidRPr="006F75EE">
        <w:rPr>
          <w:rFonts w:ascii="Arial" w:hAnsi="Arial" w:cs="Arial"/>
          <w:sz w:val="20"/>
          <w:szCs w:val="20"/>
        </w:rPr>
        <w:t>, a také ochranu zájmů ministerstva obrany na vymezení kuželů letového provozu a radioreléového vedení. Bod neomezuje povinnost investora respektovat právní úpravu ZPF a</w:t>
      </w:r>
      <w:r w:rsidR="00E3684B">
        <w:rPr>
          <w:rFonts w:ascii="Arial" w:hAnsi="Arial" w:cs="Arial"/>
          <w:sz w:val="20"/>
          <w:szCs w:val="20"/>
        </w:rPr>
        <w:t> </w:t>
      </w:r>
      <w:r w:rsidR="006F75EE" w:rsidRPr="006F75EE">
        <w:rPr>
          <w:rFonts w:ascii="Arial" w:hAnsi="Arial" w:cs="Arial"/>
          <w:sz w:val="20"/>
          <w:szCs w:val="20"/>
        </w:rPr>
        <w:t>minimalizovat zábor ZPF</w:t>
      </w:r>
      <w:r w:rsidR="008366E3" w:rsidRPr="00CA6C0E">
        <w:rPr>
          <w:rFonts w:ascii="Arial" w:hAnsi="Arial" w:cs="Arial"/>
          <w:sz w:val="20"/>
          <w:szCs w:val="20"/>
        </w:rPr>
        <w:t>.</w:t>
      </w:r>
    </w:p>
    <w:p w14:paraId="78E1EEFD" w14:textId="77777777" w:rsidR="00633265" w:rsidRDefault="54050689" w:rsidP="00A04ECB">
      <w:pPr>
        <w:spacing w:after="120" w:line="276" w:lineRule="auto"/>
        <w:jc w:val="both"/>
        <w:rPr>
          <w:rFonts w:ascii="Arial" w:hAnsi="Arial" w:cs="Arial"/>
          <w:sz w:val="20"/>
          <w:szCs w:val="20"/>
        </w:rPr>
      </w:pPr>
      <w:r w:rsidRPr="54050689">
        <w:rPr>
          <w:rFonts w:ascii="Arial" w:hAnsi="Arial" w:cs="Arial"/>
          <w:sz w:val="20"/>
          <w:szCs w:val="20"/>
        </w:rPr>
        <w:t>Podmínka v odst. 3.1 písm. e) je stanovena za účelem ochrany provedených investic do půdy, přičemž se jedná zejména o zajištění funkčnosti stávajících funkčních meliorací. Na území akcelerační oblasti se nenacházejí žádná hlavní odvodňovací zařízení ani protierozní opatření. Existence plošně vymezených meliorací je pouze pravděpodobná, předpokládá se jejich nefunkčnost.</w:t>
      </w:r>
    </w:p>
    <w:p w14:paraId="2EBCBD8A" w14:textId="0D43BDEC" w:rsidR="00404D6A" w:rsidRPr="00CA6C0E" w:rsidRDefault="00404D6A" w:rsidP="00A04ECB">
      <w:pPr>
        <w:spacing w:after="120" w:line="276" w:lineRule="auto"/>
        <w:jc w:val="both"/>
        <w:rPr>
          <w:rFonts w:ascii="Arial" w:hAnsi="Arial" w:cs="Arial"/>
          <w:sz w:val="20"/>
          <w:szCs w:val="20"/>
        </w:rPr>
      </w:pPr>
      <w:r w:rsidRPr="00CA6C0E">
        <w:rPr>
          <w:rFonts w:ascii="Arial" w:hAnsi="Arial" w:cs="Arial"/>
          <w:sz w:val="20"/>
          <w:szCs w:val="20"/>
        </w:rPr>
        <w:t>Podmínka v odst.</w:t>
      </w:r>
      <w:r w:rsidR="00633265">
        <w:rPr>
          <w:rFonts w:ascii="Arial" w:hAnsi="Arial" w:cs="Arial"/>
          <w:sz w:val="20"/>
          <w:szCs w:val="20"/>
        </w:rPr>
        <w:t xml:space="preserve"> </w:t>
      </w:r>
      <w:r w:rsidRPr="00CA6C0E">
        <w:rPr>
          <w:rFonts w:ascii="Arial" w:hAnsi="Arial" w:cs="Arial"/>
          <w:sz w:val="20"/>
          <w:szCs w:val="20"/>
        </w:rPr>
        <w:t xml:space="preserve">3.1 písm. f) </w:t>
      </w:r>
      <w:bookmarkStart w:id="9" w:name="_Hlk214039931"/>
      <w:r w:rsidRPr="00CA6C0E">
        <w:rPr>
          <w:rFonts w:ascii="Arial" w:hAnsi="Arial" w:cs="Arial"/>
          <w:sz w:val="20"/>
          <w:szCs w:val="20"/>
        </w:rPr>
        <w:t>je stanovena za účelem zachování funkční organizace zemědělského půdního fondu</w:t>
      </w:r>
      <w:r w:rsidR="00AC5054">
        <w:rPr>
          <w:rFonts w:ascii="Arial" w:hAnsi="Arial" w:cs="Arial"/>
          <w:sz w:val="20"/>
          <w:szCs w:val="20"/>
        </w:rPr>
        <w:t>,</w:t>
      </w:r>
      <w:r w:rsidR="00FE0147">
        <w:rPr>
          <w:rFonts w:ascii="Arial" w:hAnsi="Arial" w:cs="Arial"/>
          <w:sz w:val="20"/>
          <w:szCs w:val="20"/>
        </w:rPr>
        <w:t> </w:t>
      </w:r>
      <w:r w:rsidRPr="00CA6C0E">
        <w:rPr>
          <w:rFonts w:ascii="Arial" w:hAnsi="Arial" w:cs="Arial"/>
          <w:sz w:val="20"/>
          <w:szCs w:val="20"/>
        </w:rPr>
        <w:t>zajištění přístupu vlastníků zemědělských pozemků k veřejně přístupné pozemní komunikaci</w:t>
      </w:r>
      <w:r w:rsidR="00AC5054" w:rsidRPr="00AC5054">
        <w:rPr>
          <w:rFonts w:ascii="Arial" w:hAnsi="Arial" w:cs="Arial"/>
          <w:sz w:val="20"/>
          <w:szCs w:val="20"/>
          <w14:ligatures w14:val="none"/>
        </w:rPr>
        <w:t xml:space="preserve"> </w:t>
      </w:r>
      <w:r w:rsidR="00AC5054" w:rsidRPr="00AC5054">
        <w:rPr>
          <w:rFonts w:ascii="Arial" w:hAnsi="Arial" w:cs="Arial"/>
          <w:sz w:val="20"/>
          <w:szCs w:val="20"/>
        </w:rPr>
        <w:t>a minimalizace odnětí pozemků ze ZPF</w:t>
      </w:r>
      <w:r w:rsidRPr="00CA6C0E">
        <w:rPr>
          <w:rFonts w:ascii="Arial" w:hAnsi="Arial" w:cs="Arial"/>
          <w:sz w:val="20"/>
          <w:szCs w:val="20"/>
        </w:rPr>
        <w:t>.</w:t>
      </w:r>
    </w:p>
    <w:p w14:paraId="6DD5DAAC" w14:textId="08DDCA96" w:rsidR="00404D6A" w:rsidRPr="00CA6C0E" w:rsidRDefault="00404D6A" w:rsidP="00A04ECB">
      <w:pPr>
        <w:spacing w:after="120" w:line="276" w:lineRule="auto"/>
        <w:jc w:val="both"/>
        <w:rPr>
          <w:rFonts w:ascii="Arial" w:hAnsi="Arial" w:cs="Arial"/>
          <w:sz w:val="20"/>
          <w:szCs w:val="20"/>
          <w:highlight w:val="cyan"/>
        </w:rPr>
      </w:pPr>
      <w:r w:rsidRPr="00CA6C0E">
        <w:rPr>
          <w:rFonts w:ascii="Arial" w:hAnsi="Arial" w:cs="Arial"/>
          <w:sz w:val="20"/>
          <w:szCs w:val="20"/>
        </w:rPr>
        <w:t>Podmínka v odst. 3.1 písm. g) je stanovena za účelem zachování protierozních opatření, která byla vytvořena na základě rozhodnutí o pozemkových úpravách podle § 11 zákona č. 139/2002 Sb., o</w:t>
      </w:r>
      <w:r w:rsidR="00E847E6">
        <w:rPr>
          <w:rFonts w:ascii="Arial" w:hAnsi="Arial" w:cs="Arial"/>
          <w:sz w:val="20"/>
          <w:szCs w:val="20"/>
        </w:rPr>
        <w:t> </w:t>
      </w:r>
      <w:r w:rsidRPr="00CA6C0E">
        <w:rPr>
          <w:rFonts w:ascii="Arial" w:hAnsi="Arial" w:cs="Arial"/>
          <w:sz w:val="20"/>
          <w:szCs w:val="20"/>
        </w:rPr>
        <w:t>pozemkových úpravách a pozemkových úřadech, nebo na základě rozhodnutí o uložení nápravného opatření podle § 3c zákona č. 334/1992 Sb., o ochraně zemědělského půdního fondu</w:t>
      </w:r>
      <w:r w:rsidR="00D11123" w:rsidRPr="00CA6C0E">
        <w:rPr>
          <w:rFonts w:ascii="Arial" w:hAnsi="Arial" w:cs="Arial"/>
          <w:sz w:val="20"/>
          <w:szCs w:val="20"/>
        </w:rPr>
        <w:t>.</w:t>
      </w:r>
    </w:p>
    <w:bookmarkEnd w:id="9"/>
    <w:p w14:paraId="38287850" w14:textId="1DDBB8E9" w:rsidR="003F3F3B" w:rsidRPr="00B523A2" w:rsidRDefault="300FCC45" w:rsidP="000E5EA5">
      <w:pPr>
        <w:spacing w:after="120" w:line="276" w:lineRule="auto"/>
        <w:jc w:val="both"/>
        <w:rPr>
          <w:rFonts w:ascii="Arial" w:hAnsi="Arial" w:cs="Arial"/>
          <w:sz w:val="20"/>
          <w:szCs w:val="20"/>
        </w:rPr>
      </w:pPr>
      <w:r w:rsidRPr="00CA6C0E">
        <w:rPr>
          <w:rFonts w:ascii="Arial" w:hAnsi="Arial" w:cs="Arial"/>
          <w:sz w:val="20"/>
          <w:szCs w:val="20"/>
        </w:rPr>
        <w:t xml:space="preserve">Podmínka v odst. 3.1 písm. h) </w:t>
      </w:r>
      <w:bookmarkStart w:id="10" w:name="_Hlk214040006"/>
      <w:r w:rsidRPr="00CA6C0E">
        <w:rPr>
          <w:rFonts w:ascii="Arial" w:hAnsi="Arial" w:cs="Arial"/>
          <w:sz w:val="20"/>
          <w:szCs w:val="20"/>
        </w:rPr>
        <w:t>je stanovena za účelem ochrany hydrologických podmínek v územích, která mají charakter mokřadu (bez ohledu na to, jak jsou příslušné pozemky označeny v katastru nemovitostí) a na ochranu trvalých i občasných vodních toků. Vzdálenost min. 8 metrů od břehové hrany je stanovena s ohledem na provádění manipulace a údržby vodních ploch a toků a minimalizaci vlivů záměrů na pobřežní vegetaci. Podmínka cílí zejména na pozemky podél drobných toků, které zasahují do</w:t>
      </w:r>
      <w:r w:rsidR="006B2B3D" w:rsidRPr="00CA6C0E">
        <w:rPr>
          <w:rFonts w:ascii="Arial" w:hAnsi="Arial" w:cs="Arial"/>
          <w:sz w:val="20"/>
          <w:szCs w:val="20"/>
        </w:rPr>
        <w:t> </w:t>
      </w:r>
      <w:r w:rsidRPr="00CA6C0E">
        <w:rPr>
          <w:rFonts w:ascii="Arial" w:hAnsi="Arial" w:cs="Arial"/>
          <w:sz w:val="20"/>
          <w:szCs w:val="20"/>
        </w:rPr>
        <w:t xml:space="preserve">akcelerační oblasti: horní tok </w:t>
      </w:r>
      <w:proofErr w:type="spellStart"/>
      <w:r w:rsidRPr="00CA6C0E">
        <w:rPr>
          <w:rFonts w:ascii="Arial" w:hAnsi="Arial" w:cs="Arial"/>
          <w:sz w:val="20"/>
          <w:szCs w:val="20"/>
        </w:rPr>
        <w:t>Nekmířsk</w:t>
      </w:r>
      <w:r w:rsidR="00AE74F2" w:rsidRPr="00CA6C0E">
        <w:rPr>
          <w:rFonts w:ascii="Arial" w:hAnsi="Arial" w:cs="Arial"/>
          <w:sz w:val="20"/>
          <w:szCs w:val="20"/>
        </w:rPr>
        <w:t>ého</w:t>
      </w:r>
      <w:proofErr w:type="spellEnd"/>
      <w:r w:rsidRPr="00CA6C0E">
        <w:rPr>
          <w:rFonts w:ascii="Arial" w:hAnsi="Arial" w:cs="Arial"/>
          <w:sz w:val="20"/>
          <w:szCs w:val="20"/>
        </w:rPr>
        <w:t xml:space="preserve"> potoka, prameniště a</w:t>
      </w:r>
      <w:r w:rsidR="00AE74F2" w:rsidRPr="00CA6C0E">
        <w:rPr>
          <w:rFonts w:ascii="Arial" w:hAnsi="Arial" w:cs="Arial"/>
          <w:sz w:val="20"/>
          <w:szCs w:val="20"/>
        </w:rPr>
        <w:t> </w:t>
      </w:r>
      <w:r w:rsidRPr="00CA6C0E">
        <w:rPr>
          <w:rFonts w:ascii="Arial" w:hAnsi="Arial" w:cs="Arial"/>
          <w:sz w:val="20"/>
          <w:szCs w:val="20"/>
        </w:rPr>
        <w:t xml:space="preserve">horní tok </w:t>
      </w:r>
      <w:proofErr w:type="spellStart"/>
      <w:r w:rsidRPr="00CA6C0E">
        <w:rPr>
          <w:rFonts w:ascii="Arial" w:hAnsi="Arial" w:cs="Arial"/>
          <w:sz w:val="20"/>
          <w:szCs w:val="20"/>
        </w:rPr>
        <w:t>Burné</w:t>
      </w:r>
      <w:proofErr w:type="spellEnd"/>
      <w:r w:rsidR="00AE74F2" w:rsidRPr="00CA6C0E">
        <w:rPr>
          <w:rFonts w:ascii="Arial" w:hAnsi="Arial" w:cs="Arial"/>
          <w:sz w:val="20"/>
          <w:szCs w:val="20"/>
        </w:rPr>
        <w:t>, včetně jejich přítoků</w:t>
      </w:r>
      <w:r w:rsidRPr="00CA6C0E">
        <w:rPr>
          <w:rFonts w:ascii="Arial" w:hAnsi="Arial" w:cs="Arial"/>
          <w:sz w:val="20"/>
          <w:szCs w:val="20"/>
        </w:rPr>
        <w:t xml:space="preserve">. Vztahuje se ale i na další pozemky v akcelerační oblasti, pokud by měly charakter mokřadu, trvalého či občasného vodního toku. Obecná ustanovení právních předpisů, která požadují minimalizaci zásahů do vodních poměrů v území bez ohledu na typ území (např. § 148 odst. 1 písm. g) stavebního </w:t>
      </w:r>
      <w:r w:rsidRPr="00CA6C0E">
        <w:rPr>
          <w:rFonts w:ascii="Arial" w:hAnsi="Arial" w:cs="Arial"/>
          <w:sz w:val="20"/>
          <w:szCs w:val="20"/>
        </w:rPr>
        <w:lastRenderedPageBreak/>
        <w:t>zákona, § 6 odst. 3 zákona č. 254/2001 Sb., o vodách a o změně některých zákonů (vodní zákon), ve</w:t>
      </w:r>
      <w:r w:rsidR="00AE74F2" w:rsidRPr="00CA6C0E">
        <w:rPr>
          <w:rFonts w:ascii="Arial" w:hAnsi="Arial" w:cs="Arial"/>
          <w:sz w:val="20"/>
          <w:szCs w:val="20"/>
        </w:rPr>
        <w:t> </w:t>
      </w:r>
      <w:r w:rsidRPr="00CA6C0E">
        <w:rPr>
          <w:rFonts w:ascii="Arial" w:hAnsi="Arial" w:cs="Arial"/>
          <w:sz w:val="20"/>
          <w:szCs w:val="20"/>
        </w:rPr>
        <w:t xml:space="preserve">znění pozdějších předpisů, § 4 odst. 1 písm. h) zákona č. 334/1992 Sb., o ochraně zemědělského </w:t>
      </w:r>
      <w:r w:rsidRPr="00B523A2">
        <w:rPr>
          <w:rFonts w:ascii="Arial" w:hAnsi="Arial" w:cs="Arial"/>
          <w:sz w:val="20"/>
          <w:szCs w:val="20"/>
        </w:rPr>
        <w:t>půdního fondu, ve znění pozdějších předpisů) tím nejsou dotčena</w:t>
      </w:r>
      <w:bookmarkEnd w:id="10"/>
      <w:r w:rsidRPr="00B523A2">
        <w:rPr>
          <w:rFonts w:ascii="Arial" w:hAnsi="Arial" w:cs="Arial"/>
          <w:sz w:val="20"/>
          <w:szCs w:val="20"/>
        </w:rPr>
        <w:t>.</w:t>
      </w:r>
    </w:p>
    <w:p w14:paraId="4E495E8E" w14:textId="1AE4B021" w:rsidR="00B523A2" w:rsidRDefault="00B523A2" w:rsidP="00B523A2">
      <w:pPr>
        <w:spacing w:after="120" w:line="276" w:lineRule="auto"/>
        <w:jc w:val="both"/>
        <w:rPr>
          <w:rFonts w:ascii="Arial" w:hAnsi="Arial" w:cs="Arial"/>
          <w:sz w:val="20"/>
          <w:szCs w:val="20"/>
        </w:rPr>
      </w:pPr>
      <w:r w:rsidRPr="00B523A2">
        <w:rPr>
          <w:rFonts w:ascii="Arial" w:hAnsi="Arial" w:cs="Arial"/>
          <w:sz w:val="20"/>
          <w:szCs w:val="20"/>
        </w:rPr>
        <w:t xml:space="preserve">Podmínka v odst. 3.1 písm. i) je </w:t>
      </w:r>
      <w:bookmarkStart w:id="11" w:name="_Hlk214040715"/>
      <w:r w:rsidRPr="00B523A2">
        <w:rPr>
          <w:rFonts w:ascii="Arial" w:hAnsi="Arial" w:cs="Arial"/>
          <w:sz w:val="20"/>
          <w:szCs w:val="20"/>
        </w:rPr>
        <w:t>stanovena za účelem ochrany skladebných prvků ÚSES. Vymezení akcelerační oblasti respektuje nadregionální a regionální biocentra tak, že se jim vyhýbá, s ohledem na měřítko a podrobnost vymezení v ÚRP se však nelze ve všech případech zcela vyhnout prvkům nižší hierarchické řady, tedy biocentrům lokálního ÚSES a všem biokoridorům. Biocentra</w:t>
      </w:r>
      <w:r w:rsidRPr="00CA6C0E">
        <w:rPr>
          <w:rFonts w:ascii="Arial" w:hAnsi="Arial" w:cs="Arial"/>
          <w:sz w:val="20"/>
          <w:szCs w:val="20"/>
        </w:rPr>
        <w:t xml:space="preserve"> jsou pro umísťování záměrů OZE zcela nevhodná, biokoridorům je vhodné se vyhnout, nicméně nelze zcela eliminovat křížení liniové dopravní a technické infrastruktury s biokoridory, to je tedy povoleno, vliv na vymezený prvek ÚSES je v tomto případně minimální a jeho funkčnost nenarušuje</w:t>
      </w:r>
      <w:bookmarkEnd w:id="11"/>
      <w:r w:rsidRPr="00CA6C0E">
        <w:rPr>
          <w:rFonts w:ascii="Arial" w:hAnsi="Arial" w:cs="Arial"/>
          <w:sz w:val="20"/>
          <w:szCs w:val="20"/>
        </w:rPr>
        <w:t>.</w:t>
      </w:r>
    </w:p>
    <w:p w14:paraId="04660C56" w14:textId="71073D95" w:rsidR="300FCC45" w:rsidRPr="00CB49C7" w:rsidRDefault="54050689" w:rsidP="00C5089E">
      <w:pPr>
        <w:spacing w:after="240" w:line="276" w:lineRule="auto"/>
        <w:jc w:val="both"/>
        <w:rPr>
          <w:rFonts w:ascii="Arial" w:eastAsia="Arial" w:hAnsi="Arial" w:cs="Arial"/>
          <w:color w:val="000000" w:themeColor="text1"/>
          <w:sz w:val="20"/>
          <w:szCs w:val="20"/>
          <w:lang w:val="cs"/>
        </w:rPr>
      </w:pPr>
      <w:r w:rsidRPr="54050689">
        <w:rPr>
          <w:rFonts w:ascii="Arial" w:hAnsi="Arial" w:cs="Arial"/>
          <w:sz w:val="20"/>
          <w:szCs w:val="20"/>
        </w:rPr>
        <w:t>Podmínka v odst. 3.1 písm. j) je stanovena za účelem ochrany ptáků</w:t>
      </w:r>
      <w:r w:rsidR="00AC5054">
        <w:rPr>
          <w:rFonts w:ascii="Arial" w:hAnsi="Arial" w:cs="Arial"/>
          <w:sz w:val="20"/>
          <w:szCs w:val="20"/>
        </w:rPr>
        <w:t xml:space="preserve"> a netopýrů</w:t>
      </w:r>
      <w:r w:rsidRPr="54050689">
        <w:rPr>
          <w:rFonts w:ascii="Arial" w:hAnsi="Arial" w:cs="Arial"/>
          <w:sz w:val="20"/>
          <w:szCs w:val="20"/>
        </w:rPr>
        <w:t xml:space="preserve">, zejména na ochranu druhů: káně lesní </w:t>
      </w:r>
      <w:r w:rsidRPr="008B79E2">
        <w:rPr>
          <w:rFonts w:ascii="Arial" w:hAnsi="Arial" w:cs="Arial"/>
          <w:i/>
          <w:iCs/>
          <w:sz w:val="20"/>
          <w:szCs w:val="20"/>
        </w:rPr>
        <w:t>(</w:t>
      </w:r>
      <w:proofErr w:type="spellStart"/>
      <w:r w:rsidRPr="008B79E2">
        <w:rPr>
          <w:rFonts w:ascii="Arial" w:hAnsi="Arial" w:cs="Arial"/>
          <w:i/>
          <w:iCs/>
          <w:sz w:val="20"/>
          <w:szCs w:val="20"/>
        </w:rPr>
        <w:t>Buteo</w:t>
      </w:r>
      <w:proofErr w:type="spellEnd"/>
      <w:r w:rsidRPr="008B79E2">
        <w:rPr>
          <w:rFonts w:ascii="Arial" w:hAnsi="Arial" w:cs="Arial"/>
          <w:i/>
          <w:iCs/>
          <w:sz w:val="20"/>
          <w:szCs w:val="20"/>
        </w:rPr>
        <w:t xml:space="preserve"> </w:t>
      </w:r>
      <w:proofErr w:type="spellStart"/>
      <w:r w:rsidRPr="008B79E2">
        <w:rPr>
          <w:rFonts w:ascii="Arial" w:hAnsi="Arial" w:cs="Arial"/>
          <w:i/>
          <w:iCs/>
          <w:sz w:val="20"/>
          <w:szCs w:val="20"/>
        </w:rPr>
        <w:t>buteo</w:t>
      </w:r>
      <w:proofErr w:type="spellEnd"/>
      <w:r w:rsidRPr="008B79E2">
        <w:rPr>
          <w:rFonts w:ascii="Arial" w:hAnsi="Arial" w:cs="Arial"/>
          <w:i/>
          <w:iCs/>
          <w:sz w:val="20"/>
          <w:szCs w:val="20"/>
        </w:rPr>
        <w:t>)</w:t>
      </w:r>
      <w:r w:rsidRPr="54050689">
        <w:rPr>
          <w:rFonts w:ascii="Arial" w:hAnsi="Arial" w:cs="Arial"/>
          <w:sz w:val="20"/>
          <w:szCs w:val="20"/>
        </w:rPr>
        <w:t xml:space="preserve"> a moták pochop </w:t>
      </w:r>
      <w:r w:rsidRPr="008B79E2">
        <w:rPr>
          <w:rFonts w:ascii="Arial" w:hAnsi="Arial" w:cs="Arial"/>
          <w:i/>
          <w:iCs/>
          <w:sz w:val="20"/>
          <w:szCs w:val="20"/>
        </w:rPr>
        <w:t>(</w:t>
      </w:r>
      <w:proofErr w:type="spellStart"/>
      <w:r w:rsidRPr="008B79E2">
        <w:rPr>
          <w:rFonts w:ascii="Arial" w:hAnsi="Arial" w:cs="Arial"/>
          <w:i/>
          <w:iCs/>
          <w:sz w:val="20"/>
          <w:szCs w:val="20"/>
        </w:rPr>
        <w:t>Circus</w:t>
      </w:r>
      <w:proofErr w:type="spellEnd"/>
      <w:r w:rsidRPr="008B79E2">
        <w:rPr>
          <w:rFonts w:ascii="Arial" w:hAnsi="Arial" w:cs="Arial"/>
          <w:i/>
          <w:iCs/>
          <w:sz w:val="20"/>
          <w:szCs w:val="20"/>
        </w:rPr>
        <w:t xml:space="preserve"> </w:t>
      </w:r>
      <w:proofErr w:type="spellStart"/>
      <w:r w:rsidRPr="008B79E2">
        <w:rPr>
          <w:rFonts w:ascii="Arial" w:hAnsi="Arial" w:cs="Arial"/>
          <w:i/>
          <w:iCs/>
          <w:sz w:val="20"/>
          <w:szCs w:val="20"/>
        </w:rPr>
        <w:t>aeruginosus</w:t>
      </w:r>
      <w:proofErr w:type="spellEnd"/>
      <w:r w:rsidRPr="008B79E2">
        <w:rPr>
          <w:rFonts w:ascii="Arial" w:hAnsi="Arial" w:cs="Arial"/>
          <w:i/>
          <w:iCs/>
          <w:sz w:val="20"/>
          <w:szCs w:val="20"/>
        </w:rPr>
        <w:t>)</w:t>
      </w:r>
      <w:r w:rsidRPr="54050689">
        <w:rPr>
          <w:rFonts w:ascii="Arial" w:hAnsi="Arial" w:cs="Arial"/>
          <w:sz w:val="20"/>
          <w:szCs w:val="20"/>
        </w:rPr>
        <w:t xml:space="preserve">, </w:t>
      </w:r>
      <w:r w:rsidR="00782A4F" w:rsidRPr="00782A4F">
        <w:rPr>
          <w:rFonts w:ascii="Arial" w:hAnsi="Arial" w:cs="Arial"/>
          <w:sz w:val="20"/>
          <w:szCs w:val="20"/>
        </w:rPr>
        <w:t>netopýr velký (</w:t>
      </w:r>
      <w:proofErr w:type="spellStart"/>
      <w:r w:rsidR="00782A4F" w:rsidRPr="00782A4F">
        <w:rPr>
          <w:rFonts w:ascii="Arial" w:hAnsi="Arial" w:cs="Arial"/>
          <w:i/>
          <w:iCs/>
          <w:sz w:val="20"/>
          <w:szCs w:val="20"/>
        </w:rPr>
        <w:t>Myotis</w:t>
      </w:r>
      <w:proofErr w:type="spellEnd"/>
      <w:r w:rsidR="00782A4F" w:rsidRPr="00782A4F">
        <w:rPr>
          <w:rFonts w:ascii="Arial" w:hAnsi="Arial" w:cs="Arial"/>
          <w:sz w:val="20"/>
          <w:szCs w:val="20"/>
        </w:rPr>
        <w:t xml:space="preserve"> </w:t>
      </w:r>
      <w:proofErr w:type="spellStart"/>
      <w:r w:rsidR="00782A4F" w:rsidRPr="00782A4F">
        <w:rPr>
          <w:rFonts w:ascii="Arial" w:hAnsi="Arial" w:cs="Arial"/>
          <w:i/>
          <w:iCs/>
          <w:sz w:val="20"/>
          <w:szCs w:val="20"/>
        </w:rPr>
        <w:t>myotis</w:t>
      </w:r>
      <w:proofErr w:type="spellEnd"/>
      <w:r w:rsidR="00782A4F" w:rsidRPr="00782A4F">
        <w:rPr>
          <w:rFonts w:ascii="Arial" w:hAnsi="Arial" w:cs="Arial"/>
          <w:sz w:val="20"/>
          <w:szCs w:val="20"/>
        </w:rPr>
        <w:t>), netopýr hvízdavý (</w:t>
      </w:r>
      <w:proofErr w:type="spellStart"/>
      <w:r w:rsidR="00782A4F" w:rsidRPr="00782A4F">
        <w:rPr>
          <w:rFonts w:ascii="Arial" w:hAnsi="Arial" w:cs="Arial"/>
          <w:i/>
          <w:iCs/>
          <w:sz w:val="20"/>
          <w:szCs w:val="20"/>
        </w:rPr>
        <w:t>Pipistrellus</w:t>
      </w:r>
      <w:proofErr w:type="spellEnd"/>
      <w:r w:rsidR="00782A4F" w:rsidRPr="00782A4F">
        <w:rPr>
          <w:rFonts w:ascii="Arial" w:hAnsi="Arial" w:cs="Arial"/>
          <w:i/>
          <w:iCs/>
          <w:sz w:val="20"/>
          <w:szCs w:val="20"/>
        </w:rPr>
        <w:t xml:space="preserve"> </w:t>
      </w:r>
      <w:proofErr w:type="spellStart"/>
      <w:r w:rsidR="00782A4F" w:rsidRPr="00782A4F">
        <w:rPr>
          <w:rFonts w:ascii="Arial" w:hAnsi="Arial" w:cs="Arial"/>
          <w:i/>
          <w:iCs/>
          <w:sz w:val="20"/>
          <w:szCs w:val="20"/>
        </w:rPr>
        <w:t>pipistrellus</w:t>
      </w:r>
      <w:proofErr w:type="spellEnd"/>
      <w:r w:rsidR="00782A4F" w:rsidRPr="00782A4F">
        <w:rPr>
          <w:rFonts w:ascii="Arial" w:hAnsi="Arial" w:cs="Arial"/>
          <w:sz w:val="20"/>
          <w:szCs w:val="20"/>
        </w:rPr>
        <w:t xml:space="preserve">), netopýr </w:t>
      </w:r>
      <w:r w:rsidR="00E3684B">
        <w:rPr>
          <w:rFonts w:ascii="Arial" w:hAnsi="Arial" w:cs="Arial"/>
          <w:sz w:val="20"/>
          <w:szCs w:val="20"/>
        </w:rPr>
        <w:t>vodní</w:t>
      </w:r>
      <w:r w:rsidR="00782A4F" w:rsidRPr="00782A4F">
        <w:rPr>
          <w:rFonts w:ascii="Arial" w:hAnsi="Arial" w:cs="Arial"/>
          <w:sz w:val="20"/>
          <w:szCs w:val="20"/>
        </w:rPr>
        <w:t xml:space="preserve"> (</w:t>
      </w:r>
      <w:proofErr w:type="spellStart"/>
      <w:r w:rsidR="00E3684B">
        <w:rPr>
          <w:rFonts w:ascii="Arial" w:hAnsi="Arial" w:cs="Arial"/>
          <w:i/>
          <w:iCs/>
          <w:sz w:val="20"/>
          <w:szCs w:val="20"/>
        </w:rPr>
        <w:t>Myoti</w:t>
      </w:r>
      <w:r w:rsidR="00782A4F" w:rsidRPr="00782A4F">
        <w:rPr>
          <w:rFonts w:ascii="Arial" w:hAnsi="Arial" w:cs="Arial"/>
          <w:i/>
          <w:iCs/>
          <w:sz w:val="20"/>
          <w:szCs w:val="20"/>
        </w:rPr>
        <w:t>s</w:t>
      </w:r>
      <w:proofErr w:type="spellEnd"/>
      <w:r w:rsidR="00782A4F" w:rsidRPr="00782A4F">
        <w:rPr>
          <w:rFonts w:ascii="Arial" w:hAnsi="Arial" w:cs="Arial"/>
          <w:i/>
          <w:iCs/>
          <w:sz w:val="20"/>
          <w:szCs w:val="20"/>
        </w:rPr>
        <w:t xml:space="preserve"> </w:t>
      </w:r>
      <w:proofErr w:type="spellStart"/>
      <w:r w:rsidR="00E3684B">
        <w:rPr>
          <w:rFonts w:ascii="Arial" w:hAnsi="Arial" w:cs="Arial"/>
          <w:i/>
          <w:iCs/>
          <w:sz w:val="20"/>
          <w:szCs w:val="20"/>
        </w:rPr>
        <w:t>daubentonii</w:t>
      </w:r>
      <w:proofErr w:type="spellEnd"/>
      <w:r w:rsidR="00782A4F" w:rsidRPr="00782A4F">
        <w:rPr>
          <w:rFonts w:ascii="Arial" w:hAnsi="Arial" w:cs="Arial"/>
          <w:sz w:val="20"/>
          <w:szCs w:val="20"/>
        </w:rPr>
        <w:t xml:space="preserve">) </w:t>
      </w:r>
      <w:r w:rsidR="00E3684B">
        <w:rPr>
          <w:rFonts w:ascii="Arial" w:hAnsi="Arial" w:cs="Arial"/>
          <w:sz w:val="20"/>
          <w:szCs w:val="20"/>
        </w:rPr>
        <w:t>a </w:t>
      </w:r>
      <w:r w:rsidR="00782A4F" w:rsidRPr="00782A4F">
        <w:rPr>
          <w:rFonts w:ascii="Arial" w:hAnsi="Arial" w:cs="Arial"/>
          <w:sz w:val="20"/>
          <w:szCs w:val="20"/>
        </w:rPr>
        <w:t>netopýr rezavý (</w:t>
      </w:r>
      <w:proofErr w:type="spellStart"/>
      <w:r w:rsidR="00782A4F" w:rsidRPr="00782A4F">
        <w:rPr>
          <w:rFonts w:ascii="Arial" w:hAnsi="Arial" w:cs="Arial"/>
          <w:i/>
          <w:iCs/>
          <w:sz w:val="20"/>
          <w:szCs w:val="20"/>
        </w:rPr>
        <w:t>Nyctalus</w:t>
      </w:r>
      <w:proofErr w:type="spellEnd"/>
      <w:r w:rsidR="00782A4F" w:rsidRPr="00782A4F">
        <w:rPr>
          <w:rFonts w:ascii="Arial" w:hAnsi="Arial" w:cs="Arial"/>
          <w:i/>
          <w:iCs/>
          <w:sz w:val="20"/>
          <w:szCs w:val="20"/>
        </w:rPr>
        <w:t xml:space="preserve"> </w:t>
      </w:r>
      <w:proofErr w:type="spellStart"/>
      <w:r w:rsidR="00782A4F" w:rsidRPr="00782A4F">
        <w:rPr>
          <w:rFonts w:ascii="Arial" w:hAnsi="Arial" w:cs="Arial"/>
          <w:i/>
          <w:iCs/>
          <w:sz w:val="20"/>
          <w:szCs w:val="20"/>
        </w:rPr>
        <w:t>noctula</w:t>
      </w:r>
      <w:proofErr w:type="spellEnd"/>
      <w:r w:rsidR="00782A4F" w:rsidRPr="00782A4F">
        <w:rPr>
          <w:rFonts w:ascii="Arial" w:hAnsi="Arial" w:cs="Arial"/>
          <w:sz w:val="20"/>
          <w:szCs w:val="20"/>
        </w:rPr>
        <w:t>)</w:t>
      </w:r>
      <w:r w:rsidR="00782A4F">
        <w:rPr>
          <w:rFonts w:ascii="Arial" w:hAnsi="Arial" w:cs="Arial"/>
          <w:sz w:val="20"/>
          <w:szCs w:val="20"/>
        </w:rPr>
        <w:t xml:space="preserve">, </w:t>
      </w:r>
      <w:r w:rsidRPr="54050689">
        <w:rPr>
          <w:rFonts w:ascii="Arial" w:hAnsi="Arial" w:cs="Arial"/>
          <w:sz w:val="20"/>
          <w:szCs w:val="20"/>
        </w:rPr>
        <w:t xml:space="preserve">jejichž výskyt byl v zájmovém území prokázán. Podle biologického </w:t>
      </w:r>
      <w:r w:rsidR="00782A4F">
        <w:rPr>
          <w:rFonts w:ascii="Arial" w:hAnsi="Arial" w:cs="Arial"/>
          <w:sz w:val="20"/>
          <w:szCs w:val="20"/>
        </w:rPr>
        <w:t>posouz</w:t>
      </w:r>
      <w:r w:rsidR="00782A4F" w:rsidRPr="54050689">
        <w:rPr>
          <w:rFonts w:ascii="Arial" w:hAnsi="Arial" w:cs="Arial"/>
          <w:sz w:val="20"/>
          <w:szCs w:val="20"/>
        </w:rPr>
        <w:t xml:space="preserve">ení </w:t>
      </w:r>
      <w:r w:rsidRPr="54050689">
        <w:rPr>
          <w:rFonts w:ascii="Arial" w:hAnsi="Arial" w:cs="Arial"/>
          <w:sz w:val="20"/>
          <w:szCs w:val="20"/>
        </w:rPr>
        <w:t>je u</w:t>
      </w:r>
      <w:r w:rsidR="00553F3C">
        <w:rPr>
          <w:rFonts w:ascii="Arial" w:hAnsi="Arial" w:cs="Arial"/>
          <w:sz w:val="20"/>
          <w:szCs w:val="20"/>
        </w:rPr>
        <w:t> </w:t>
      </w:r>
      <w:r w:rsidRPr="54050689">
        <w:rPr>
          <w:rFonts w:ascii="Arial" w:hAnsi="Arial" w:cs="Arial"/>
          <w:sz w:val="20"/>
          <w:szCs w:val="20"/>
        </w:rPr>
        <w:t>hnízdišť a potravních biotopů těchto druhů vhodné využít technických řešení k omezení rizika úrazů a mortality na vedení VN, z důvodu hnízdění na VTE nebo v</w:t>
      </w:r>
      <w:r w:rsidR="009609AD">
        <w:rPr>
          <w:rFonts w:ascii="Arial" w:hAnsi="Arial" w:cs="Arial"/>
          <w:sz w:val="20"/>
          <w:szCs w:val="20"/>
        </w:rPr>
        <w:t> </w:t>
      </w:r>
      <w:r w:rsidRPr="54050689">
        <w:rPr>
          <w:rFonts w:ascii="Arial" w:hAnsi="Arial" w:cs="Arial"/>
          <w:sz w:val="20"/>
          <w:szCs w:val="20"/>
        </w:rPr>
        <w:t>důsledku kolize s lopatkami VTE. Přestože umístění akcelerační oblasti respektuje mapy citlivosti ptáků a oblasti s vysokým a extrémním rizikem byly z vymezení vyloučeny, nebylo možné se vyhnout všem detekovaným místům výskytu citlivých, vzácných a ohrožených druhů ptáků</w:t>
      </w:r>
      <w:r w:rsidR="000726D5">
        <w:rPr>
          <w:rFonts w:ascii="Arial" w:hAnsi="Arial" w:cs="Arial"/>
          <w:sz w:val="20"/>
          <w:szCs w:val="20"/>
        </w:rPr>
        <w:t xml:space="preserve"> a netopýrů</w:t>
      </w:r>
      <w:r w:rsidRPr="54050689">
        <w:rPr>
          <w:rFonts w:ascii="Arial" w:hAnsi="Arial" w:cs="Arial"/>
          <w:sz w:val="20"/>
          <w:szCs w:val="20"/>
        </w:rPr>
        <w:t>.</w:t>
      </w:r>
    </w:p>
    <w:p w14:paraId="5F005335" w14:textId="375FEF7A" w:rsidR="0089629E" w:rsidRPr="00553F3C" w:rsidRDefault="0089629E" w:rsidP="0089629E">
      <w:pPr>
        <w:spacing w:after="120" w:line="276" w:lineRule="auto"/>
        <w:jc w:val="both"/>
        <w:rPr>
          <w:rFonts w:ascii="Arial" w:hAnsi="Arial" w:cs="Arial"/>
          <w:sz w:val="20"/>
          <w:szCs w:val="20"/>
        </w:rPr>
      </w:pPr>
      <w:bookmarkStart w:id="12" w:name="_Hlk214041025"/>
      <w:r w:rsidRPr="00CA6C0E">
        <w:rPr>
          <w:rFonts w:ascii="Arial" w:hAnsi="Arial" w:cs="Arial"/>
          <w:sz w:val="20"/>
          <w:szCs w:val="20"/>
        </w:rPr>
        <w:t xml:space="preserve">Podmínka v odst. 3.1 písm. k) je stanovena za účelem ochrany </w:t>
      </w:r>
      <w:r w:rsidR="00C86C61" w:rsidRPr="00553F3C">
        <w:rPr>
          <w:rFonts w:ascii="Arial" w:hAnsi="Arial" w:cs="Arial"/>
          <w:sz w:val="20"/>
          <w:szCs w:val="20"/>
        </w:rPr>
        <w:t>veřejného zdraví, zejména s ohledem na nepřekračování stanovených hygienických limitů hluku. Hluková studie posoudí působení nejen nově umisťovaného zdroje hluku, ale i kumulativní působení se všemi stávajícími nebo připravovanými stacionárními zdroji hluku v dotčeném území (nejen záměry OZE)</w:t>
      </w:r>
      <w:r w:rsidRPr="00553F3C">
        <w:rPr>
          <w:rFonts w:ascii="Arial" w:hAnsi="Arial" w:cs="Arial"/>
          <w:sz w:val="20"/>
          <w:szCs w:val="20"/>
        </w:rPr>
        <w:t>.</w:t>
      </w:r>
    </w:p>
    <w:p w14:paraId="2A84F790" w14:textId="77777777" w:rsidR="0089629E" w:rsidRPr="00CA6C0E" w:rsidRDefault="0089629E" w:rsidP="0089629E">
      <w:pPr>
        <w:pStyle w:val="Zkladntext"/>
        <w:spacing w:after="120" w:line="276" w:lineRule="auto"/>
        <w:jc w:val="both"/>
      </w:pPr>
      <w:bookmarkStart w:id="13" w:name="_Hlk213768132"/>
      <w:r w:rsidRPr="00CA6C0E">
        <w:t xml:space="preserve">Podmínka v odst. 3.1 písm. l) </w:t>
      </w:r>
      <w:bookmarkEnd w:id="13"/>
      <w:r w:rsidRPr="00CA6C0E">
        <w:t>je stanovena za účelem ochrany zdravých životních podmínek v obytné zástavbě sídel, v jejichž sousedství se akcelerační oblast rozkládá, zejména s ohledem na možné nepříjemné světelné efekty</w:t>
      </w:r>
      <w:bookmarkEnd w:id="12"/>
      <w:r w:rsidRPr="00CA6C0E">
        <w:t>.</w:t>
      </w:r>
    </w:p>
    <w:p w14:paraId="5B83CC5C" w14:textId="708FC827" w:rsidR="300FCC45" w:rsidRPr="00CA6C0E" w:rsidRDefault="0089629E" w:rsidP="0089629E">
      <w:pPr>
        <w:pStyle w:val="Zkladntext"/>
        <w:spacing w:after="120" w:line="276" w:lineRule="auto"/>
        <w:jc w:val="both"/>
      </w:pPr>
      <w:r w:rsidRPr="00CA6C0E">
        <w:t>Podmínka v odst. 3.1 písm. m) je stanovena za účelem snížení stresového působení VTE na</w:t>
      </w:r>
      <w:r>
        <w:t> </w:t>
      </w:r>
      <w:r w:rsidRPr="00CA6C0E">
        <w:t>ptáky, jedná se zejména o druhy:</w:t>
      </w:r>
      <w:r w:rsidRPr="00CA6C0E">
        <w:rPr>
          <w:rFonts w:eastAsia="Times New Roman"/>
          <w:lang w:eastAsia="cs-CZ"/>
        </w:rPr>
        <w:t xml:space="preserve"> </w:t>
      </w:r>
      <w:r w:rsidR="300FCC45" w:rsidRPr="00CA6C0E">
        <w:t xml:space="preserve">káně lesní </w:t>
      </w:r>
      <w:r w:rsidR="300FCC45" w:rsidRPr="008B79E2">
        <w:rPr>
          <w:i/>
          <w:iCs/>
        </w:rPr>
        <w:t>(</w:t>
      </w:r>
      <w:proofErr w:type="spellStart"/>
      <w:r w:rsidR="300FCC45" w:rsidRPr="008B79E2">
        <w:rPr>
          <w:i/>
          <w:iCs/>
        </w:rPr>
        <w:t>Buteo</w:t>
      </w:r>
      <w:proofErr w:type="spellEnd"/>
      <w:r w:rsidR="300FCC45" w:rsidRPr="008B79E2">
        <w:rPr>
          <w:i/>
          <w:iCs/>
        </w:rPr>
        <w:t xml:space="preserve"> </w:t>
      </w:r>
      <w:proofErr w:type="spellStart"/>
      <w:r w:rsidR="300FCC45" w:rsidRPr="008B79E2">
        <w:rPr>
          <w:i/>
          <w:iCs/>
        </w:rPr>
        <w:t>buteo</w:t>
      </w:r>
      <w:proofErr w:type="spellEnd"/>
      <w:r w:rsidR="300FCC45" w:rsidRPr="008B79E2">
        <w:rPr>
          <w:i/>
          <w:iCs/>
        </w:rPr>
        <w:t>)</w:t>
      </w:r>
      <w:r w:rsidR="300FCC45" w:rsidRPr="00CA6C0E">
        <w:t xml:space="preserve">, moták pochop </w:t>
      </w:r>
      <w:r w:rsidR="300FCC45" w:rsidRPr="008B79E2">
        <w:rPr>
          <w:i/>
          <w:iCs/>
        </w:rPr>
        <w:t>(</w:t>
      </w:r>
      <w:proofErr w:type="spellStart"/>
      <w:r w:rsidR="300FCC45" w:rsidRPr="008B79E2">
        <w:rPr>
          <w:i/>
          <w:iCs/>
        </w:rPr>
        <w:t>Circus</w:t>
      </w:r>
      <w:proofErr w:type="spellEnd"/>
      <w:r w:rsidR="300FCC45" w:rsidRPr="008B79E2">
        <w:rPr>
          <w:i/>
          <w:iCs/>
        </w:rPr>
        <w:t xml:space="preserve"> </w:t>
      </w:r>
      <w:proofErr w:type="spellStart"/>
      <w:r w:rsidR="300FCC45" w:rsidRPr="008B79E2">
        <w:rPr>
          <w:i/>
          <w:iCs/>
        </w:rPr>
        <w:t>aeruginosus</w:t>
      </w:r>
      <w:proofErr w:type="spellEnd"/>
      <w:r w:rsidR="300FCC45" w:rsidRPr="008B79E2">
        <w:rPr>
          <w:i/>
          <w:iCs/>
        </w:rPr>
        <w:t>)</w:t>
      </w:r>
      <w:r w:rsidR="300FCC45" w:rsidRPr="00CA6C0E">
        <w:t>, jejichž výskyt byl v zájmovém území prokázán.</w:t>
      </w:r>
    </w:p>
    <w:p w14:paraId="348D1BAC" w14:textId="776B0AB5" w:rsidR="300FCC45" w:rsidRDefault="300FCC45" w:rsidP="00ED0015">
      <w:pPr>
        <w:spacing w:after="120" w:line="276" w:lineRule="auto"/>
        <w:jc w:val="both"/>
        <w:rPr>
          <w:rFonts w:ascii="Arial" w:hAnsi="Arial" w:cs="Arial"/>
          <w:sz w:val="20"/>
          <w:szCs w:val="20"/>
        </w:rPr>
      </w:pPr>
      <w:r w:rsidRPr="439EC95A">
        <w:rPr>
          <w:rFonts w:ascii="Arial" w:hAnsi="Arial" w:cs="Arial"/>
          <w:sz w:val="20"/>
          <w:szCs w:val="20"/>
        </w:rPr>
        <w:t>Podmínka v odst. 3.1 písm. n) je stanovena z důvodu omezení vlivu na hmyz jako kořist konkrétních dotčených druhů ptáků a netopýrů.</w:t>
      </w:r>
    </w:p>
    <w:p w14:paraId="1D118FD5" w14:textId="0593B0A8" w:rsidR="000C1399" w:rsidRPr="00CA6C0E" w:rsidRDefault="2784BB3C" w:rsidP="439EC95A">
      <w:pPr>
        <w:spacing w:after="120" w:line="276" w:lineRule="auto"/>
        <w:jc w:val="both"/>
        <w:rPr>
          <w:rFonts w:ascii="Arial" w:hAnsi="Arial" w:cs="Arial"/>
          <w:sz w:val="20"/>
          <w:szCs w:val="20"/>
        </w:rPr>
      </w:pPr>
      <w:r w:rsidRPr="439EC95A">
        <w:rPr>
          <w:rFonts w:ascii="Arial" w:hAnsi="Arial" w:cs="Arial"/>
          <w:sz w:val="20"/>
          <w:szCs w:val="20"/>
        </w:rPr>
        <w:t xml:space="preserve">Podmínka v odst. 3.1 písm. o) </w:t>
      </w:r>
      <w:r w:rsidR="00A336B5">
        <w:rPr>
          <w:rFonts w:ascii="Arial" w:hAnsi="Arial" w:cs="Arial"/>
          <w:sz w:val="20"/>
          <w:szCs w:val="20"/>
        </w:rPr>
        <w:t xml:space="preserve">je </w:t>
      </w:r>
      <w:r w:rsidR="00A336B5" w:rsidRPr="00117EE9">
        <w:rPr>
          <w:rFonts w:ascii="Arial" w:hAnsi="Arial" w:cs="Arial"/>
          <w:sz w:val="20"/>
          <w:szCs w:val="20"/>
        </w:rPr>
        <w:t>stanovena z důvodu přítomnosti poddolovan</w:t>
      </w:r>
      <w:r w:rsidR="00A336B5">
        <w:rPr>
          <w:rFonts w:ascii="Arial" w:hAnsi="Arial" w:cs="Arial"/>
          <w:sz w:val="20"/>
          <w:szCs w:val="20"/>
        </w:rPr>
        <w:t>ého</w:t>
      </w:r>
      <w:r w:rsidR="00A336B5" w:rsidRPr="00117EE9">
        <w:rPr>
          <w:rFonts w:ascii="Arial" w:hAnsi="Arial" w:cs="Arial"/>
          <w:sz w:val="20"/>
          <w:szCs w:val="20"/>
        </w:rPr>
        <w:t xml:space="preserve"> území</w:t>
      </w:r>
      <w:r w:rsidR="00A336B5">
        <w:rPr>
          <w:rFonts w:ascii="Arial" w:hAnsi="Arial" w:cs="Arial"/>
          <w:sz w:val="20"/>
          <w:szCs w:val="20"/>
        </w:rPr>
        <w:t>, chráněného ložiskového území a výhradního ložiska nerostných surovin</w:t>
      </w:r>
      <w:r w:rsidR="00A336B5" w:rsidRPr="00117EE9">
        <w:rPr>
          <w:rFonts w:ascii="Arial" w:hAnsi="Arial" w:cs="Arial"/>
          <w:sz w:val="20"/>
          <w:szCs w:val="20"/>
        </w:rPr>
        <w:t xml:space="preserve"> v akcelerační oblasti, je</w:t>
      </w:r>
      <w:r w:rsidR="00A336B5">
        <w:rPr>
          <w:rFonts w:ascii="Arial" w:hAnsi="Arial" w:cs="Arial"/>
          <w:sz w:val="20"/>
          <w:szCs w:val="20"/>
        </w:rPr>
        <w:t>jich</w:t>
      </w:r>
      <w:r w:rsidR="00A336B5" w:rsidRPr="00117EE9">
        <w:rPr>
          <w:rFonts w:ascii="Arial" w:hAnsi="Arial" w:cs="Arial"/>
          <w:sz w:val="20"/>
          <w:szCs w:val="20"/>
        </w:rPr>
        <w:t xml:space="preserve">ž dopad na umístění záměrů OZE nelze na úrovni územního opatření adekvátně prověřit. Doporučuje se umisťovat záměry OZE přednostně mimo </w:t>
      </w:r>
      <w:r w:rsidR="00A336B5">
        <w:rPr>
          <w:rFonts w:ascii="Arial" w:hAnsi="Arial" w:cs="Arial"/>
          <w:sz w:val="20"/>
          <w:szCs w:val="20"/>
        </w:rPr>
        <w:t>tato</w:t>
      </w:r>
      <w:r w:rsidR="00A336B5" w:rsidRPr="00117EE9">
        <w:rPr>
          <w:rFonts w:ascii="Arial" w:hAnsi="Arial" w:cs="Arial"/>
          <w:sz w:val="20"/>
          <w:szCs w:val="20"/>
        </w:rPr>
        <w:t xml:space="preserve"> území</w:t>
      </w:r>
      <w:r w:rsidR="00A336B5">
        <w:rPr>
          <w:rFonts w:ascii="Arial" w:hAnsi="Arial" w:cs="Arial"/>
          <w:sz w:val="20"/>
          <w:szCs w:val="20"/>
        </w:rPr>
        <w:t>.</w:t>
      </w:r>
    </w:p>
    <w:p w14:paraId="36941EBB" w14:textId="63B128A6" w:rsidR="000C1399" w:rsidRPr="00CA6C0E" w:rsidRDefault="000C1399" w:rsidP="439EC95A">
      <w:pPr>
        <w:spacing w:after="120" w:line="276" w:lineRule="auto"/>
        <w:jc w:val="both"/>
        <w:rPr>
          <w:rFonts w:ascii="Arial" w:hAnsi="Arial" w:cs="Arial"/>
          <w:sz w:val="20"/>
          <w:szCs w:val="20"/>
        </w:rPr>
      </w:pPr>
      <w:r w:rsidRPr="439EC95A">
        <w:rPr>
          <w:rFonts w:ascii="Arial" w:hAnsi="Arial" w:cs="Arial"/>
          <w:sz w:val="20"/>
          <w:szCs w:val="20"/>
        </w:rPr>
        <w:t xml:space="preserve">Podmínka v odst. 3.1 písm. </w:t>
      </w:r>
      <w:r w:rsidR="021339E8" w:rsidRPr="439EC95A">
        <w:rPr>
          <w:rFonts w:ascii="Arial" w:hAnsi="Arial" w:cs="Arial"/>
          <w:sz w:val="20"/>
          <w:szCs w:val="20"/>
        </w:rPr>
        <w:t>p</w:t>
      </w:r>
      <w:r w:rsidRPr="439EC95A">
        <w:rPr>
          <w:rFonts w:ascii="Arial" w:hAnsi="Arial" w:cs="Arial"/>
          <w:sz w:val="20"/>
          <w:szCs w:val="20"/>
        </w:rPr>
        <w:t>) je stanovena z důvodu přítomnosti dobývacího prostoru v západní části akcelerační oblasti. Vzhledem k možnému vývoji ve vymezení dobývacího prostoru území nelze vyloučit budoucí možnost umisťování záměrů OZE do tohoto území, proto je území zahrnuto do vymezení akcelerační oblasti.</w:t>
      </w:r>
    </w:p>
    <w:p w14:paraId="5F4387F6" w14:textId="1D0AD79C" w:rsidR="300FCC45" w:rsidRPr="00CA6C0E" w:rsidRDefault="300FCC45" w:rsidP="00ED0015">
      <w:pPr>
        <w:spacing w:after="120" w:line="276" w:lineRule="auto"/>
        <w:jc w:val="both"/>
        <w:rPr>
          <w:rFonts w:ascii="Arial" w:hAnsi="Arial" w:cs="Arial"/>
          <w:sz w:val="20"/>
          <w:szCs w:val="20"/>
        </w:rPr>
      </w:pPr>
      <w:r w:rsidRPr="439EC95A">
        <w:rPr>
          <w:rFonts w:ascii="Arial" w:hAnsi="Arial" w:cs="Arial"/>
          <w:sz w:val="20"/>
          <w:szCs w:val="20"/>
        </w:rPr>
        <w:t xml:space="preserve">Podmínka v odst. 3.1 písm. </w:t>
      </w:r>
      <w:r w:rsidR="4C09D25C" w:rsidRPr="439EC95A">
        <w:rPr>
          <w:rFonts w:ascii="Arial" w:hAnsi="Arial" w:cs="Arial"/>
          <w:sz w:val="20"/>
          <w:szCs w:val="20"/>
        </w:rPr>
        <w:t>q</w:t>
      </w:r>
      <w:r w:rsidRPr="439EC95A">
        <w:rPr>
          <w:rFonts w:ascii="Arial" w:hAnsi="Arial" w:cs="Arial"/>
          <w:sz w:val="20"/>
          <w:szCs w:val="20"/>
        </w:rPr>
        <w:t>) je stanovena z důvodu ochrany významného krajinného prvku les v</w:t>
      </w:r>
      <w:r w:rsidR="00BF64F3" w:rsidRPr="439EC95A">
        <w:rPr>
          <w:rFonts w:ascii="Arial" w:hAnsi="Arial" w:cs="Arial"/>
          <w:sz w:val="20"/>
          <w:szCs w:val="20"/>
        </w:rPr>
        <w:t> </w:t>
      </w:r>
      <w:r w:rsidRPr="439EC95A">
        <w:rPr>
          <w:rFonts w:ascii="Arial" w:hAnsi="Arial" w:cs="Arial"/>
          <w:sz w:val="20"/>
          <w:szCs w:val="20"/>
        </w:rPr>
        <w:t xml:space="preserve">oblastech Orná, </w:t>
      </w:r>
      <w:proofErr w:type="spellStart"/>
      <w:r w:rsidRPr="439EC95A">
        <w:rPr>
          <w:rFonts w:ascii="Arial" w:hAnsi="Arial" w:cs="Arial"/>
          <w:sz w:val="20"/>
          <w:szCs w:val="20"/>
        </w:rPr>
        <w:t>Hochovka</w:t>
      </w:r>
      <w:proofErr w:type="spellEnd"/>
      <w:r w:rsidRPr="439EC95A">
        <w:rPr>
          <w:rFonts w:ascii="Arial" w:hAnsi="Arial" w:cs="Arial"/>
          <w:sz w:val="20"/>
          <w:szCs w:val="20"/>
        </w:rPr>
        <w:t xml:space="preserve"> a pod vrchem </w:t>
      </w:r>
      <w:proofErr w:type="spellStart"/>
      <w:r w:rsidRPr="439EC95A">
        <w:rPr>
          <w:rFonts w:ascii="Arial" w:hAnsi="Arial" w:cs="Arial"/>
          <w:sz w:val="20"/>
          <w:szCs w:val="20"/>
        </w:rPr>
        <w:t>Hřebensko</w:t>
      </w:r>
      <w:proofErr w:type="spellEnd"/>
      <w:r w:rsidRPr="439EC95A">
        <w:rPr>
          <w:rFonts w:ascii="Arial" w:hAnsi="Arial" w:cs="Arial"/>
          <w:sz w:val="20"/>
          <w:szCs w:val="20"/>
        </w:rPr>
        <w:t>. Podle § 4, odst. 2) zákona č. 114/1992 Sb., o</w:t>
      </w:r>
      <w:r w:rsidR="00BF64F3" w:rsidRPr="439EC95A">
        <w:rPr>
          <w:rFonts w:ascii="Arial" w:hAnsi="Arial" w:cs="Arial"/>
          <w:sz w:val="20"/>
          <w:szCs w:val="20"/>
        </w:rPr>
        <w:t> </w:t>
      </w:r>
      <w:r w:rsidRPr="439EC95A">
        <w:rPr>
          <w:rFonts w:ascii="Arial" w:hAnsi="Arial" w:cs="Arial"/>
          <w:sz w:val="20"/>
          <w:szCs w:val="20"/>
        </w:rPr>
        <w:t>ochraně přírody a krajiny, jsou významné krajinné prvky chráněny před poškozováním a ničením. Na</w:t>
      </w:r>
      <w:r w:rsidR="00E847E6" w:rsidRPr="439EC95A">
        <w:rPr>
          <w:rFonts w:ascii="Arial" w:hAnsi="Arial" w:cs="Arial"/>
          <w:sz w:val="20"/>
          <w:szCs w:val="20"/>
        </w:rPr>
        <w:t> </w:t>
      </w:r>
      <w:r w:rsidRPr="439EC95A">
        <w:rPr>
          <w:rFonts w:ascii="Arial" w:hAnsi="Arial" w:cs="Arial"/>
          <w:sz w:val="20"/>
          <w:szCs w:val="20"/>
        </w:rPr>
        <w:t xml:space="preserve">rozsáhlé lesní porosty jsou vázány zvláště chráněné druhy živočichů, lesní porost </w:t>
      </w:r>
      <w:proofErr w:type="spellStart"/>
      <w:r w:rsidRPr="439EC95A">
        <w:rPr>
          <w:rFonts w:ascii="Arial" w:hAnsi="Arial" w:cs="Arial"/>
          <w:sz w:val="20"/>
          <w:szCs w:val="20"/>
        </w:rPr>
        <w:t>Hochovka</w:t>
      </w:r>
      <w:proofErr w:type="spellEnd"/>
      <w:r w:rsidRPr="439EC95A">
        <w:rPr>
          <w:rFonts w:ascii="Arial" w:hAnsi="Arial" w:cs="Arial"/>
          <w:sz w:val="20"/>
          <w:szCs w:val="20"/>
        </w:rPr>
        <w:t xml:space="preserve"> a jeho blízké okolí je biotopem několika druhů netopýrů; v lesním porostu pod vrchem </w:t>
      </w:r>
      <w:proofErr w:type="spellStart"/>
      <w:r w:rsidRPr="439EC95A">
        <w:rPr>
          <w:rFonts w:ascii="Arial" w:hAnsi="Arial" w:cs="Arial"/>
          <w:sz w:val="20"/>
          <w:szCs w:val="20"/>
        </w:rPr>
        <w:t>Hřebensko</w:t>
      </w:r>
      <w:proofErr w:type="spellEnd"/>
      <w:r w:rsidRPr="439EC95A">
        <w:rPr>
          <w:rFonts w:ascii="Arial" w:hAnsi="Arial" w:cs="Arial"/>
          <w:sz w:val="20"/>
          <w:szCs w:val="20"/>
        </w:rPr>
        <w:t xml:space="preserve"> je evidované zaniklé hnízdo čápa černého (</w:t>
      </w:r>
      <w:proofErr w:type="spellStart"/>
      <w:r w:rsidRPr="439EC95A">
        <w:rPr>
          <w:rFonts w:ascii="Arial" w:hAnsi="Arial" w:cs="Arial"/>
          <w:i/>
          <w:iCs/>
          <w:sz w:val="20"/>
          <w:szCs w:val="20"/>
        </w:rPr>
        <w:t>Ciconia</w:t>
      </w:r>
      <w:proofErr w:type="spellEnd"/>
      <w:r w:rsidRPr="439EC95A">
        <w:rPr>
          <w:rFonts w:ascii="Arial" w:hAnsi="Arial" w:cs="Arial"/>
          <w:sz w:val="20"/>
          <w:szCs w:val="20"/>
        </w:rPr>
        <w:t xml:space="preserve"> </w:t>
      </w:r>
      <w:proofErr w:type="spellStart"/>
      <w:r w:rsidRPr="439EC95A">
        <w:rPr>
          <w:rFonts w:ascii="Arial" w:hAnsi="Arial" w:cs="Arial"/>
          <w:i/>
          <w:iCs/>
          <w:sz w:val="20"/>
          <w:szCs w:val="20"/>
        </w:rPr>
        <w:t>nigra</w:t>
      </w:r>
      <w:proofErr w:type="spellEnd"/>
      <w:r w:rsidRPr="439EC95A">
        <w:rPr>
          <w:rFonts w:ascii="Arial" w:hAnsi="Arial" w:cs="Arial"/>
          <w:sz w:val="20"/>
          <w:szCs w:val="20"/>
        </w:rPr>
        <w:t>); v lesním porostu Orná je evidován výskyt citlivého druhu káně lesní (</w:t>
      </w:r>
      <w:proofErr w:type="spellStart"/>
      <w:r w:rsidRPr="439EC95A">
        <w:rPr>
          <w:rFonts w:ascii="Arial" w:hAnsi="Arial" w:cs="Arial"/>
          <w:i/>
          <w:iCs/>
          <w:sz w:val="20"/>
          <w:szCs w:val="20"/>
        </w:rPr>
        <w:t>Buteo</w:t>
      </w:r>
      <w:proofErr w:type="spellEnd"/>
      <w:r w:rsidRPr="439EC95A">
        <w:rPr>
          <w:rFonts w:ascii="Arial" w:hAnsi="Arial" w:cs="Arial"/>
          <w:sz w:val="20"/>
          <w:szCs w:val="20"/>
        </w:rPr>
        <w:t xml:space="preserve"> </w:t>
      </w:r>
      <w:proofErr w:type="spellStart"/>
      <w:r w:rsidRPr="439EC95A">
        <w:rPr>
          <w:rFonts w:ascii="Arial" w:hAnsi="Arial" w:cs="Arial"/>
          <w:i/>
          <w:iCs/>
          <w:sz w:val="20"/>
          <w:szCs w:val="20"/>
        </w:rPr>
        <w:t>buteo</w:t>
      </w:r>
      <w:proofErr w:type="spellEnd"/>
      <w:r w:rsidRPr="439EC95A">
        <w:rPr>
          <w:rFonts w:ascii="Arial" w:hAnsi="Arial" w:cs="Arial"/>
          <w:sz w:val="20"/>
          <w:szCs w:val="20"/>
        </w:rPr>
        <w:t>).</w:t>
      </w:r>
    </w:p>
    <w:p w14:paraId="26F07A23" w14:textId="4D77CBA8" w:rsidR="300FCC45" w:rsidRPr="00CA6C0E" w:rsidRDefault="300FCC45" w:rsidP="00ED0015">
      <w:pPr>
        <w:spacing w:after="120" w:line="276" w:lineRule="auto"/>
        <w:jc w:val="both"/>
        <w:rPr>
          <w:rFonts w:ascii="Arial" w:hAnsi="Arial" w:cs="Arial"/>
          <w:sz w:val="20"/>
          <w:szCs w:val="20"/>
        </w:rPr>
      </w:pPr>
      <w:r w:rsidRPr="439EC95A">
        <w:rPr>
          <w:rFonts w:ascii="Arial" w:hAnsi="Arial" w:cs="Arial"/>
          <w:sz w:val="20"/>
          <w:szCs w:val="20"/>
        </w:rPr>
        <w:t xml:space="preserve">Podmínka v odst. 3.1 písm. </w:t>
      </w:r>
      <w:r w:rsidR="6E44C5C7" w:rsidRPr="439EC95A">
        <w:rPr>
          <w:rFonts w:ascii="Arial" w:hAnsi="Arial" w:cs="Arial"/>
          <w:sz w:val="20"/>
          <w:szCs w:val="20"/>
        </w:rPr>
        <w:t>q</w:t>
      </w:r>
      <w:r w:rsidRPr="439EC95A">
        <w:rPr>
          <w:rFonts w:ascii="Arial" w:hAnsi="Arial" w:cs="Arial"/>
          <w:sz w:val="20"/>
          <w:szCs w:val="20"/>
        </w:rPr>
        <w:t xml:space="preserve">) bod 1. je stanovena z důvodu ochrany VKP les a ochrany biotopu zvláště chráněných a citlivých druhů. Podmínka vyloučení dočasného záboru a výstavby rozsáhlejších areálů </w:t>
      </w:r>
      <w:r w:rsidRPr="439EC95A">
        <w:rPr>
          <w:rFonts w:ascii="Arial" w:hAnsi="Arial" w:cs="Arial"/>
          <w:sz w:val="20"/>
          <w:szCs w:val="20"/>
        </w:rPr>
        <w:lastRenderedPageBreak/>
        <w:t>typu bateriového úložiště nebo rozvoden je v těchto plochách stanovena za účelem snížení záboru projektu v lesních plochách na minimum. V těchto plochách je však možné umístit VTE, vést vyvedení výkonu nebo obslužnou komunikaci.</w:t>
      </w:r>
    </w:p>
    <w:p w14:paraId="352A0795" w14:textId="07CCD3A9" w:rsidR="300FCC45" w:rsidRPr="00CA6C0E" w:rsidRDefault="300FCC45" w:rsidP="00ED0015">
      <w:pPr>
        <w:spacing w:after="120" w:line="276" w:lineRule="auto"/>
        <w:jc w:val="both"/>
        <w:rPr>
          <w:rFonts w:ascii="Arial" w:hAnsi="Arial" w:cs="Arial"/>
          <w:sz w:val="20"/>
          <w:szCs w:val="20"/>
        </w:rPr>
      </w:pPr>
      <w:r w:rsidRPr="439EC95A">
        <w:rPr>
          <w:rFonts w:ascii="Arial" w:hAnsi="Arial" w:cs="Arial"/>
          <w:sz w:val="20"/>
          <w:szCs w:val="20"/>
        </w:rPr>
        <w:t xml:space="preserve">Podmínka v odst. 3.1 písm. </w:t>
      </w:r>
      <w:r w:rsidR="69E1ED43" w:rsidRPr="439EC95A">
        <w:rPr>
          <w:rFonts w:ascii="Arial" w:hAnsi="Arial" w:cs="Arial"/>
          <w:sz w:val="20"/>
          <w:szCs w:val="20"/>
        </w:rPr>
        <w:t>q</w:t>
      </w:r>
      <w:r w:rsidRPr="439EC95A">
        <w:rPr>
          <w:rFonts w:ascii="Arial" w:hAnsi="Arial" w:cs="Arial"/>
          <w:sz w:val="20"/>
          <w:szCs w:val="20"/>
        </w:rPr>
        <w:t>) bod 2. je stanovena z důvodu ochrany VKP les a ochrany biotopu zvláště chráněných a citlivých druhů. Důraz je kladen na prostorovou optimalizaci projektu a všech jeho součástí, která vede k omezení kácení dřevin.</w:t>
      </w:r>
    </w:p>
    <w:p w14:paraId="362B8D46" w14:textId="43485D9D" w:rsidR="300FCC45" w:rsidRDefault="300FCC45" w:rsidP="00ED0015">
      <w:pPr>
        <w:spacing w:after="120" w:line="276" w:lineRule="auto"/>
        <w:jc w:val="both"/>
        <w:rPr>
          <w:rFonts w:ascii="Arial" w:hAnsi="Arial" w:cs="Arial"/>
          <w:sz w:val="20"/>
          <w:szCs w:val="20"/>
        </w:rPr>
      </w:pPr>
      <w:r w:rsidRPr="439EC95A">
        <w:rPr>
          <w:rFonts w:ascii="Arial" w:hAnsi="Arial" w:cs="Arial"/>
          <w:sz w:val="20"/>
          <w:szCs w:val="20"/>
        </w:rPr>
        <w:t xml:space="preserve">Podmínka v odst. 3.1 písm. </w:t>
      </w:r>
      <w:r w:rsidR="07D5A08B" w:rsidRPr="439EC95A">
        <w:rPr>
          <w:rFonts w:ascii="Arial" w:hAnsi="Arial" w:cs="Arial"/>
          <w:sz w:val="20"/>
          <w:szCs w:val="20"/>
        </w:rPr>
        <w:t>q</w:t>
      </w:r>
      <w:r w:rsidRPr="439EC95A">
        <w:rPr>
          <w:rFonts w:ascii="Arial" w:hAnsi="Arial" w:cs="Arial"/>
          <w:sz w:val="20"/>
          <w:szCs w:val="20"/>
        </w:rPr>
        <w:t>) bod 3. je stanovena na ochranu hnízdění ptáků s odkazem na § 11 odst. 2 ZOZE ve spojení s § 5a odst. 1 zákona č. 114/1992 Sb., o ochraně přírody a krajiny. Kácením dřevin mou být dotčené některé citlivé či zvláště chráněné druhy, např. káně lesní (</w:t>
      </w:r>
      <w:proofErr w:type="spellStart"/>
      <w:r w:rsidRPr="439EC95A">
        <w:rPr>
          <w:rFonts w:ascii="Arial" w:hAnsi="Arial" w:cs="Arial"/>
          <w:i/>
          <w:iCs/>
          <w:sz w:val="20"/>
          <w:szCs w:val="20"/>
        </w:rPr>
        <w:t>Buteo</w:t>
      </w:r>
      <w:proofErr w:type="spellEnd"/>
      <w:r w:rsidRPr="439EC95A">
        <w:rPr>
          <w:rFonts w:ascii="Arial" w:hAnsi="Arial" w:cs="Arial"/>
          <w:sz w:val="20"/>
          <w:szCs w:val="20"/>
        </w:rPr>
        <w:t xml:space="preserve"> </w:t>
      </w:r>
      <w:proofErr w:type="spellStart"/>
      <w:r w:rsidRPr="439EC95A">
        <w:rPr>
          <w:rFonts w:ascii="Arial" w:hAnsi="Arial" w:cs="Arial"/>
          <w:i/>
          <w:iCs/>
          <w:sz w:val="20"/>
          <w:szCs w:val="20"/>
        </w:rPr>
        <w:t>buteo</w:t>
      </w:r>
      <w:proofErr w:type="spellEnd"/>
      <w:r w:rsidRPr="439EC95A">
        <w:rPr>
          <w:rFonts w:ascii="Arial" w:hAnsi="Arial" w:cs="Arial"/>
          <w:sz w:val="20"/>
          <w:szCs w:val="20"/>
        </w:rPr>
        <w:t>).</w:t>
      </w:r>
    </w:p>
    <w:p w14:paraId="4ACE04EC" w14:textId="56EED74A" w:rsidR="007F3A25" w:rsidRPr="007F3A25" w:rsidRDefault="007F3A25" w:rsidP="007F3A25">
      <w:pPr>
        <w:spacing w:after="120" w:line="276" w:lineRule="auto"/>
        <w:jc w:val="both"/>
        <w:rPr>
          <w:rFonts w:ascii="Arial" w:hAnsi="Arial" w:cs="Arial"/>
          <w:sz w:val="20"/>
          <w:szCs w:val="20"/>
        </w:rPr>
      </w:pPr>
      <w:r w:rsidRPr="007F3A25">
        <w:rPr>
          <w:rFonts w:ascii="Arial" w:hAnsi="Arial" w:cs="Arial"/>
          <w:sz w:val="20"/>
          <w:szCs w:val="20"/>
        </w:rPr>
        <w:t xml:space="preserve">Podmínka v odst. 3.1 </w:t>
      </w:r>
      <w:r>
        <w:rPr>
          <w:rFonts w:ascii="Arial" w:hAnsi="Arial" w:cs="Arial"/>
          <w:sz w:val="20"/>
          <w:szCs w:val="20"/>
        </w:rPr>
        <w:t>r</w:t>
      </w:r>
      <w:r w:rsidRPr="007F3A25">
        <w:rPr>
          <w:rFonts w:ascii="Arial" w:hAnsi="Arial" w:cs="Arial"/>
          <w:sz w:val="20"/>
          <w:szCs w:val="20"/>
        </w:rPr>
        <w:t>) je stanovena s ohledem na zvýšenou ochranu půd s I. a II. třídou ochrany a zásadu přednostního využívání méně kvalitní zemědělské půdy dle § 4 odst. 1 písm. c) zákona č. 334/1992 Sb., o ochraně zemědělského půdního fondu. Přesné umístění VTE a související infrastruktury nelze na úrovni územního opatření předjímat, proto podmínka nevylučuje dotčení půd s I. a II. třídou ochrany absolutně, ale omezuje je na případy, kdy je takové dotčení technicky nezbytné a nelze zvolit šetrnější řešení v rámci akcelerační oblasti. Zásada preference méně kvalitní zemědělské půdy se současně neuplatní pouze ve vztahu k I. a II. třídě ochrany, ale přiměřeně i při výběru mezi ostatními třídami ochrany, pokud jsou varianty umístění z hlediska funkčnosti a dopadů na jiné veřejné zájmy rovnocenné.</w:t>
      </w:r>
    </w:p>
    <w:p w14:paraId="5C9FBAB5" w14:textId="5763ACBF" w:rsidR="007F3A25" w:rsidRPr="007F3A25" w:rsidRDefault="007F3A25" w:rsidP="007F3A25">
      <w:pPr>
        <w:spacing w:after="120" w:line="276" w:lineRule="auto"/>
        <w:jc w:val="both"/>
        <w:rPr>
          <w:rFonts w:ascii="Arial" w:hAnsi="Arial" w:cs="Arial"/>
          <w:sz w:val="20"/>
          <w:szCs w:val="20"/>
        </w:rPr>
      </w:pPr>
      <w:r w:rsidRPr="007F3A25">
        <w:rPr>
          <w:rFonts w:ascii="Arial" w:hAnsi="Arial" w:cs="Arial"/>
          <w:sz w:val="20"/>
          <w:szCs w:val="20"/>
        </w:rPr>
        <w:t xml:space="preserve">Podmínka v odst. 3.1 </w:t>
      </w:r>
      <w:r>
        <w:rPr>
          <w:rFonts w:ascii="Arial" w:hAnsi="Arial" w:cs="Arial"/>
          <w:sz w:val="20"/>
          <w:szCs w:val="20"/>
        </w:rPr>
        <w:t>s</w:t>
      </w:r>
      <w:r w:rsidRPr="007F3A25">
        <w:rPr>
          <w:rFonts w:ascii="Arial" w:hAnsi="Arial" w:cs="Arial"/>
          <w:sz w:val="20"/>
          <w:szCs w:val="20"/>
        </w:rPr>
        <w:t>) je stanovena v souladu s obecnými zásadami ochrany pozemků určených k plnění funkcí lesa (§ 13 odst. 2 lesního zákona). Sledovaným účelem předmětné podmínky je zabránění nadměrné fragmentaci lesních komplexů, respektive zamezení situacím, kdyby v důsledku nevhodného umístění záměru v rámci akcelerační oblasti docházelo ke vzniku lesních pozemků o rozloze či tvaru neumožňujícího lesní hospodaření (§ 12 odst. 2 lesního zákona). Požadavek na</w:t>
      </w:r>
      <w:r w:rsidR="00E3684B">
        <w:rPr>
          <w:rFonts w:ascii="Arial" w:hAnsi="Arial" w:cs="Arial"/>
          <w:sz w:val="20"/>
          <w:szCs w:val="20"/>
        </w:rPr>
        <w:t> </w:t>
      </w:r>
      <w:r w:rsidRPr="007F3A25">
        <w:rPr>
          <w:rFonts w:ascii="Arial" w:hAnsi="Arial" w:cs="Arial"/>
          <w:sz w:val="20"/>
          <w:szCs w:val="20"/>
        </w:rPr>
        <w:t>minimalizaci záborů pozemků určených k plnění funkcí lesa a přednostní užití pozemků méně významných z hlediska lesního hospodaření (bezlesí) pak reflektuje veřejný zájem na zachování lesa a jeho funkcí, jejichž plnění je primárně vázáno na existenci stabilních lesních porostů. K umísťování obslužných komunikací na pozemky určené k plnění funkcí lesa by mělo být přistupováno pouze v odůvodněných případech a za předpokladu, že nebude možné využít stávající cestní sítě. Uvedené omezení sleduje nejen ochranu lesních komplexů před jejich nadměrnou fragmentací, ale zejména předchází nevhodným zásahům do tzv. porostního pláště jehož zachování je nezbytné z hlediska ochrany navazujících lesních porostů před negativním působením biotických a abiotických škodlivých činitelů. V případě bateriových úložišť jejich přednostní umísťování mimo pozemky určené k plnění funkcí lesa, respektive mimo ochranné pásmo lesa (§ 14 odst. 2 lesního zákona), reflektuje technická specifika těchto zařízení a předchází vzniku situací kdy by muselo být přistoupeno k omezení lesního hospodaření v důsledku stanovení takzvaných zabezpečovacích opatření ve smyslu § 22 odst. 1 lesního zákona.</w:t>
      </w:r>
    </w:p>
    <w:p w14:paraId="76CA9DF3" w14:textId="0AC96DD2" w:rsidR="007F3A25" w:rsidRPr="00CB49C7" w:rsidRDefault="007F3A25" w:rsidP="007F3A25">
      <w:pPr>
        <w:spacing w:after="120" w:line="276" w:lineRule="auto"/>
        <w:jc w:val="both"/>
        <w:rPr>
          <w:rFonts w:ascii="Arial" w:hAnsi="Arial" w:cs="Arial"/>
          <w:sz w:val="20"/>
          <w:szCs w:val="20"/>
        </w:rPr>
      </w:pPr>
      <w:r w:rsidRPr="00CB49C7">
        <w:rPr>
          <w:rFonts w:ascii="Arial" w:hAnsi="Arial" w:cs="Arial"/>
          <w:sz w:val="20"/>
          <w:szCs w:val="20"/>
        </w:rPr>
        <w:t xml:space="preserve">Podmínka v odst. 3.1 t) je stanovena s ohledem na skutečnost, že investoři musí splnit stanovené podmínky a zmírňující opatření a vyhodnocení jejich splnění vyžaduje odborné znalosti a zkušenosti. Biologický dozor ve fázi přípravy a realizace je stanoven s cílem eliminovat nebo významně snížit negativní vlivy na zvláště chráněné druhy živočichů a rostlin a přítomné přírodní biotopy (ve smyslu Katalogu biotopů ČR). Biologický dozor tak ve spolupráci s investorem, resp. projektantem záměru upřesní a optimalizuje umístění záměru tak, aby na základě aktuálních informací a odborných znalostí byly dopady na zvláště chráněné druhy živočichů a rostlin a přítomné přírodní biotopy vyloučeny nebo (jde-li např. o více rozšířené či mobilní druhy) minimalizovány. Stejně tak (v návaznosti na podmínky stanovené v odst. 3.1 písm. h) upřesní lokalizaci a způsob provádění záměru ve vztahu k mokřadním a dalším vodou ovlivněným stanovištím. V lesních porostech může umístění usměrnit mimo extrémní stanoviště, na nichž silně exponovaná poloha (hřebeny, vrcholy, příkré svahy) a nepříznivé půdní či klimatické podmínky vyvolávají zvýšené riziko vzniku eroze – jedná se o stanoviště definované edafickými kategoriemi Z, X, Y, J a dále stanoviště lesních typů s výrazným svahových charakterem označené čtyřmístným kódem kdy poslední znak představuje písmeno „e“ a dále také vodou ovlivněná </w:t>
      </w:r>
      <w:r w:rsidRPr="00CB49C7">
        <w:rPr>
          <w:rFonts w:ascii="Arial" w:hAnsi="Arial" w:cs="Arial"/>
          <w:sz w:val="20"/>
          <w:szCs w:val="20"/>
        </w:rPr>
        <w:lastRenderedPageBreak/>
        <w:t>stanoviště definovaná edafickými kategoriemi L, U, V, O, P, Q, G, T a R. Informace o  provádění biologického dozoru budou zapisovány do stavebního deníku (datum, počet druhů a jejich jedinců, provedené opatření). Investor OZE přizve, zejména v rámci kontrolních dnů stavby (jejichž harmonogram investor předá při zahájení stavby správnímu orgánu), místně příslušný orgán ochrany přírody, který bude v místě stavby OZE provádět kontroly plnění podmínek a zmírňujících opatření.</w:t>
      </w:r>
    </w:p>
    <w:p w14:paraId="4EE1DD1F" w14:textId="7AD9C60C" w:rsidR="00C86C61" w:rsidRPr="00CA6C0E" w:rsidRDefault="007F3A25" w:rsidP="00ED0015">
      <w:pPr>
        <w:spacing w:after="120" w:line="276" w:lineRule="auto"/>
        <w:jc w:val="both"/>
        <w:rPr>
          <w:rFonts w:ascii="Arial" w:hAnsi="Arial" w:cs="Arial"/>
          <w:sz w:val="20"/>
          <w:szCs w:val="20"/>
        </w:rPr>
      </w:pPr>
      <w:r w:rsidRPr="00CB49C7">
        <w:rPr>
          <w:rFonts w:ascii="Arial" w:hAnsi="Arial" w:cs="Arial"/>
          <w:sz w:val="20"/>
          <w:szCs w:val="20"/>
        </w:rPr>
        <w:t xml:space="preserve">Podmínka v odst. 3.1 písm. </w:t>
      </w:r>
      <w:r w:rsidR="001A1E73" w:rsidRPr="00CB49C7">
        <w:rPr>
          <w:rFonts w:ascii="Arial" w:hAnsi="Arial" w:cs="Arial"/>
          <w:sz w:val="20"/>
          <w:szCs w:val="20"/>
        </w:rPr>
        <w:t>u</w:t>
      </w:r>
      <w:r w:rsidRPr="00CB49C7">
        <w:rPr>
          <w:rFonts w:ascii="Arial" w:hAnsi="Arial" w:cs="Arial"/>
          <w:sz w:val="20"/>
          <w:szCs w:val="20"/>
        </w:rPr>
        <w:t>) eliminuje nežádoucí šíření invazních druhů rostlin. Narušení terénu během přípravných a stavebních prací a přesuny půdy a zemin v rámci staveniště mohou urychlit invazi těchto druhů – zvláště rizikové jsou zejména dlouhé liniové úseky výkopů pro vyvedení výkonu, které mohou sloužit jako cesta pro šíření a rozvoj populace.</w:t>
      </w:r>
    </w:p>
    <w:p w14:paraId="30F6E50E" w14:textId="1985F98E" w:rsidR="300FCC45" w:rsidRPr="00CA6C0E" w:rsidRDefault="300FCC45" w:rsidP="00633265">
      <w:pPr>
        <w:spacing w:before="240" w:after="120" w:line="276" w:lineRule="auto"/>
        <w:jc w:val="both"/>
        <w:rPr>
          <w:rFonts w:ascii="Arial" w:hAnsi="Arial" w:cs="Arial"/>
          <w:sz w:val="20"/>
          <w:szCs w:val="20"/>
        </w:rPr>
      </w:pPr>
      <w:r w:rsidRPr="00CA6C0E">
        <w:rPr>
          <w:rFonts w:ascii="Arial" w:hAnsi="Arial" w:cs="Arial"/>
          <w:sz w:val="20"/>
          <w:szCs w:val="20"/>
        </w:rPr>
        <w:t xml:space="preserve">Podmínka v odst. 3.2 písm. a) </w:t>
      </w:r>
      <w:r w:rsidR="00377C48">
        <w:rPr>
          <w:rFonts w:ascii="Arial" w:hAnsi="Arial" w:cs="Arial"/>
          <w:sz w:val="20"/>
          <w:szCs w:val="20"/>
        </w:rPr>
        <w:t>nebyla</w:t>
      </w:r>
      <w:r w:rsidR="00377C48" w:rsidRPr="00CA6C0E">
        <w:rPr>
          <w:rFonts w:ascii="Arial" w:hAnsi="Arial" w:cs="Arial"/>
          <w:sz w:val="20"/>
          <w:szCs w:val="20"/>
        </w:rPr>
        <w:t xml:space="preserve"> </w:t>
      </w:r>
      <w:r w:rsidRPr="00CA6C0E">
        <w:rPr>
          <w:rFonts w:ascii="Arial" w:hAnsi="Arial" w:cs="Arial"/>
          <w:sz w:val="20"/>
          <w:szCs w:val="20"/>
        </w:rPr>
        <w:t>stanovena.</w:t>
      </w:r>
    </w:p>
    <w:p w14:paraId="4DC26E79" w14:textId="0A7BBFCB" w:rsidR="300FCC45" w:rsidRPr="00CA6C0E" w:rsidRDefault="300FCC45" w:rsidP="00ED0015">
      <w:pPr>
        <w:spacing w:after="120" w:line="276" w:lineRule="auto"/>
        <w:jc w:val="both"/>
        <w:rPr>
          <w:rFonts w:ascii="Arial" w:hAnsi="Arial" w:cs="Arial"/>
          <w:sz w:val="20"/>
          <w:szCs w:val="20"/>
        </w:rPr>
      </w:pPr>
      <w:r w:rsidRPr="00CA6C0E">
        <w:rPr>
          <w:rFonts w:ascii="Arial" w:hAnsi="Arial" w:cs="Arial"/>
          <w:sz w:val="20"/>
          <w:szCs w:val="20"/>
        </w:rPr>
        <w:t>Podmínka v odst. 3.2 písm. b) je stanovena za účelem ochrany níže uvedených zvláště chráněných druhů netopýrů z důvodu snížení jejich mortality v období migrace, kdy dochází k přeletům na nejdelší vzdálenosti a v nejvyšších výškách. Provedené posouzení podle § 11 odst. 4 ZOZE indikuje ve vzdálenosti do 3 km letní kolonii netopýra velkého (</w:t>
      </w:r>
      <w:proofErr w:type="spellStart"/>
      <w:r w:rsidRPr="00E847E6">
        <w:rPr>
          <w:rFonts w:ascii="Arial" w:hAnsi="Arial" w:cs="Arial"/>
          <w:i/>
          <w:iCs/>
          <w:sz w:val="20"/>
          <w:szCs w:val="20"/>
        </w:rPr>
        <w:t>Myotis</w:t>
      </w:r>
      <w:proofErr w:type="spellEnd"/>
      <w:r w:rsidRPr="00CA6C0E">
        <w:rPr>
          <w:rFonts w:ascii="Arial" w:hAnsi="Arial" w:cs="Arial"/>
          <w:sz w:val="20"/>
          <w:szCs w:val="20"/>
        </w:rPr>
        <w:t xml:space="preserve"> </w:t>
      </w:r>
      <w:proofErr w:type="spellStart"/>
      <w:r w:rsidRPr="00E847E6">
        <w:rPr>
          <w:rFonts w:ascii="Arial" w:hAnsi="Arial" w:cs="Arial"/>
          <w:i/>
          <w:iCs/>
          <w:sz w:val="20"/>
          <w:szCs w:val="20"/>
        </w:rPr>
        <w:t>myotis</w:t>
      </w:r>
      <w:proofErr w:type="spellEnd"/>
      <w:r w:rsidRPr="00CA6C0E">
        <w:rPr>
          <w:rFonts w:ascii="Arial" w:hAnsi="Arial" w:cs="Arial"/>
          <w:sz w:val="20"/>
          <w:szCs w:val="20"/>
        </w:rPr>
        <w:t>) na půdě kostela ve Všerubech. Dále je evidován značný počet záznamů druhů netopýrů tzv dálkových migrantů v jižní části AO, např.: netopýr rezavý (</w:t>
      </w:r>
      <w:proofErr w:type="spellStart"/>
      <w:r w:rsidRPr="00E847E6">
        <w:rPr>
          <w:rFonts w:ascii="Arial" w:hAnsi="Arial" w:cs="Arial"/>
          <w:i/>
          <w:iCs/>
          <w:sz w:val="20"/>
          <w:szCs w:val="20"/>
        </w:rPr>
        <w:t>Nyctalus</w:t>
      </w:r>
      <w:proofErr w:type="spellEnd"/>
      <w:r w:rsidRPr="00CA6C0E">
        <w:rPr>
          <w:rFonts w:ascii="Arial" w:hAnsi="Arial" w:cs="Arial"/>
          <w:sz w:val="20"/>
          <w:szCs w:val="20"/>
        </w:rPr>
        <w:t xml:space="preserve"> </w:t>
      </w:r>
      <w:proofErr w:type="spellStart"/>
      <w:r w:rsidRPr="00E847E6">
        <w:rPr>
          <w:rFonts w:ascii="Arial" w:hAnsi="Arial" w:cs="Arial"/>
          <w:i/>
          <w:iCs/>
          <w:sz w:val="20"/>
          <w:szCs w:val="20"/>
        </w:rPr>
        <w:t>noctula</w:t>
      </w:r>
      <w:proofErr w:type="spellEnd"/>
      <w:r w:rsidRPr="00CA6C0E">
        <w:rPr>
          <w:rFonts w:ascii="Arial" w:hAnsi="Arial" w:cs="Arial"/>
          <w:sz w:val="20"/>
          <w:szCs w:val="20"/>
        </w:rPr>
        <w:t>), netopýr parkový (</w:t>
      </w:r>
      <w:proofErr w:type="spellStart"/>
      <w:r w:rsidRPr="00E847E6">
        <w:rPr>
          <w:rFonts w:ascii="Arial" w:hAnsi="Arial" w:cs="Arial"/>
          <w:i/>
          <w:iCs/>
          <w:sz w:val="20"/>
          <w:szCs w:val="20"/>
        </w:rPr>
        <w:t>Pipistrellus</w:t>
      </w:r>
      <w:proofErr w:type="spellEnd"/>
      <w:r w:rsidRPr="00CA6C0E">
        <w:rPr>
          <w:rFonts w:ascii="Arial" w:hAnsi="Arial" w:cs="Arial"/>
          <w:sz w:val="20"/>
          <w:szCs w:val="20"/>
        </w:rPr>
        <w:t xml:space="preserve"> </w:t>
      </w:r>
      <w:proofErr w:type="spellStart"/>
      <w:r w:rsidRPr="00E847E6">
        <w:rPr>
          <w:rFonts w:ascii="Arial" w:hAnsi="Arial" w:cs="Arial"/>
          <w:i/>
          <w:iCs/>
          <w:sz w:val="20"/>
          <w:szCs w:val="20"/>
        </w:rPr>
        <w:t>nathusii</w:t>
      </w:r>
      <w:proofErr w:type="spellEnd"/>
      <w:r w:rsidRPr="00CA6C0E">
        <w:rPr>
          <w:rFonts w:ascii="Arial" w:hAnsi="Arial" w:cs="Arial"/>
          <w:sz w:val="20"/>
          <w:szCs w:val="20"/>
        </w:rPr>
        <w:t>), netopýr hvízdavý (</w:t>
      </w:r>
      <w:proofErr w:type="spellStart"/>
      <w:r w:rsidRPr="00E847E6">
        <w:rPr>
          <w:rFonts w:ascii="Arial" w:hAnsi="Arial" w:cs="Arial"/>
          <w:i/>
          <w:iCs/>
          <w:sz w:val="20"/>
          <w:szCs w:val="20"/>
        </w:rPr>
        <w:t>Pipistrellus</w:t>
      </w:r>
      <w:proofErr w:type="spellEnd"/>
      <w:r w:rsidRPr="00CA6C0E">
        <w:rPr>
          <w:rFonts w:ascii="Arial" w:hAnsi="Arial" w:cs="Arial"/>
          <w:sz w:val="20"/>
          <w:szCs w:val="20"/>
        </w:rPr>
        <w:t xml:space="preserve"> </w:t>
      </w:r>
      <w:proofErr w:type="spellStart"/>
      <w:r w:rsidRPr="00E847E6">
        <w:rPr>
          <w:rFonts w:ascii="Arial" w:hAnsi="Arial" w:cs="Arial"/>
          <w:i/>
          <w:iCs/>
          <w:sz w:val="20"/>
          <w:szCs w:val="20"/>
        </w:rPr>
        <w:t>pipistrellus</w:t>
      </w:r>
      <w:proofErr w:type="spellEnd"/>
      <w:r w:rsidRPr="00CA6C0E">
        <w:rPr>
          <w:rFonts w:ascii="Arial" w:hAnsi="Arial" w:cs="Arial"/>
          <w:sz w:val="20"/>
          <w:szCs w:val="20"/>
        </w:rPr>
        <w:t>), netopýr nejmenší (</w:t>
      </w:r>
      <w:proofErr w:type="spellStart"/>
      <w:r w:rsidRPr="00E847E6">
        <w:rPr>
          <w:rFonts w:ascii="Arial" w:hAnsi="Arial" w:cs="Arial"/>
          <w:i/>
          <w:iCs/>
          <w:sz w:val="20"/>
          <w:szCs w:val="20"/>
        </w:rPr>
        <w:t>Pipistrellus</w:t>
      </w:r>
      <w:proofErr w:type="spellEnd"/>
      <w:r w:rsidRPr="00CA6C0E">
        <w:rPr>
          <w:rFonts w:ascii="Arial" w:hAnsi="Arial" w:cs="Arial"/>
          <w:sz w:val="20"/>
          <w:szCs w:val="20"/>
        </w:rPr>
        <w:t xml:space="preserve"> </w:t>
      </w:r>
      <w:proofErr w:type="spellStart"/>
      <w:r w:rsidRPr="00E847E6">
        <w:rPr>
          <w:rFonts w:ascii="Arial" w:hAnsi="Arial" w:cs="Arial"/>
          <w:i/>
          <w:iCs/>
          <w:sz w:val="20"/>
          <w:szCs w:val="20"/>
        </w:rPr>
        <w:t>pygmaeus</w:t>
      </w:r>
      <w:proofErr w:type="spellEnd"/>
      <w:r w:rsidRPr="00CA6C0E">
        <w:rPr>
          <w:rFonts w:ascii="Arial" w:hAnsi="Arial" w:cs="Arial"/>
          <w:sz w:val="20"/>
          <w:szCs w:val="20"/>
        </w:rPr>
        <w:t>).</w:t>
      </w:r>
    </w:p>
    <w:p w14:paraId="1FA57C95" w14:textId="4C543998" w:rsidR="300FCC45" w:rsidRPr="00CA6C0E" w:rsidRDefault="54050689" w:rsidP="54050689">
      <w:pPr>
        <w:spacing w:after="120" w:line="276" w:lineRule="auto"/>
        <w:jc w:val="both"/>
        <w:rPr>
          <w:rFonts w:ascii="Arial" w:hAnsi="Arial" w:cs="Arial"/>
          <w:sz w:val="20"/>
          <w:szCs w:val="20"/>
        </w:rPr>
      </w:pPr>
      <w:r w:rsidRPr="54050689">
        <w:rPr>
          <w:rFonts w:ascii="Arial" w:hAnsi="Arial" w:cs="Arial"/>
          <w:sz w:val="20"/>
          <w:szCs w:val="20"/>
        </w:rPr>
        <w:t>Podmínka v odst. 3.2 písm. c) je stanovena za účelem obecné ochrany ptáků a ochrany konkrétních evidovaných druhů: káně lesní (</w:t>
      </w:r>
      <w:proofErr w:type="spellStart"/>
      <w:r w:rsidRPr="54050689">
        <w:rPr>
          <w:rFonts w:ascii="Arial" w:hAnsi="Arial" w:cs="Arial"/>
          <w:i/>
          <w:iCs/>
          <w:sz w:val="20"/>
          <w:szCs w:val="20"/>
        </w:rPr>
        <w:t>Buteo</w:t>
      </w:r>
      <w:proofErr w:type="spellEnd"/>
      <w:r w:rsidRPr="54050689">
        <w:rPr>
          <w:rFonts w:ascii="Arial" w:hAnsi="Arial" w:cs="Arial"/>
          <w:sz w:val="20"/>
          <w:szCs w:val="20"/>
        </w:rPr>
        <w:t xml:space="preserve"> </w:t>
      </w:r>
      <w:proofErr w:type="spellStart"/>
      <w:r w:rsidRPr="54050689">
        <w:rPr>
          <w:rFonts w:ascii="Arial" w:hAnsi="Arial" w:cs="Arial"/>
          <w:i/>
          <w:iCs/>
          <w:sz w:val="20"/>
          <w:szCs w:val="20"/>
        </w:rPr>
        <w:t>buteo</w:t>
      </w:r>
      <w:proofErr w:type="spellEnd"/>
      <w:r w:rsidRPr="54050689">
        <w:rPr>
          <w:rFonts w:ascii="Arial" w:hAnsi="Arial" w:cs="Arial"/>
          <w:sz w:val="20"/>
          <w:szCs w:val="20"/>
        </w:rPr>
        <w:t>), moták pochop (</w:t>
      </w:r>
      <w:proofErr w:type="spellStart"/>
      <w:r w:rsidRPr="54050689">
        <w:rPr>
          <w:rFonts w:ascii="Arial" w:hAnsi="Arial" w:cs="Arial"/>
          <w:i/>
          <w:iCs/>
          <w:sz w:val="20"/>
          <w:szCs w:val="20"/>
        </w:rPr>
        <w:t>Circus</w:t>
      </w:r>
      <w:proofErr w:type="spellEnd"/>
      <w:r w:rsidRPr="54050689">
        <w:rPr>
          <w:rFonts w:ascii="Arial" w:hAnsi="Arial" w:cs="Arial"/>
          <w:sz w:val="20"/>
          <w:szCs w:val="20"/>
        </w:rPr>
        <w:t xml:space="preserve"> </w:t>
      </w:r>
      <w:proofErr w:type="spellStart"/>
      <w:r w:rsidRPr="54050689">
        <w:rPr>
          <w:rFonts w:ascii="Arial" w:hAnsi="Arial" w:cs="Arial"/>
          <w:i/>
          <w:iCs/>
          <w:sz w:val="20"/>
          <w:szCs w:val="20"/>
        </w:rPr>
        <w:t>aeruginosus</w:t>
      </w:r>
      <w:proofErr w:type="spellEnd"/>
      <w:r w:rsidRPr="54050689">
        <w:rPr>
          <w:rFonts w:ascii="Arial" w:hAnsi="Arial" w:cs="Arial"/>
          <w:sz w:val="20"/>
          <w:szCs w:val="20"/>
        </w:rPr>
        <w:t>). Provoz VTE představuje určité riziko pro volně žijící ptáky. Odpuzovače, případně zařízení pro identifikaci ptáků a následné zpomalení rotoru VTE mají schopnost výrazně snižovat mortalitu a zároveň umožnit výstavbu VTE i v oblastech se zvýšeným výskytem citlivých druhů. Přestože vymezení akcelerační oblasti respektovalo mapy citlivosti ptáků a oblasti s vysokou a extrémní citlivostí byly z návrhu vyloučeny, nebylo možné se vyhnout všem detekovaným místům výskytu citlivých, vzácných a ohrožených druhů ptáků, bez zásadní redukce rozlohy, při které by byla akcelerační oblast zcela zrušena (nenaplnila by rozsah 2,5 km</w:t>
      </w:r>
      <w:r w:rsidRPr="54050689">
        <w:rPr>
          <w:rFonts w:ascii="Arial" w:hAnsi="Arial" w:cs="Arial"/>
          <w:sz w:val="20"/>
          <w:szCs w:val="20"/>
          <w:vertAlign w:val="superscript"/>
        </w:rPr>
        <w:t>2</w:t>
      </w:r>
      <w:r w:rsidRPr="54050689">
        <w:rPr>
          <w:rFonts w:ascii="Arial" w:hAnsi="Arial" w:cs="Arial"/>
          <w:sz w:val="20"/>
          <w:szCs w:val="20"/>
        </w:rPr>
        <w:t xml:space="preserve"> dle zadání Změny č. 2 ÚRP).</w:t>
      </w:r>
    </w:p>
    <w:p w14:paraId="474FCA04" w14:textId="15BB9570" w:rsidR="300FCC45" w:rsidRPr="00CA6C0E" w:rsidRDefault="300FCC45" w:rsidP="00ED0015">
      <w:pPr>
        <w:spacing w:after="120" w:line="276" w:lineRule="auto"/>
        <w:jc w:val="both"/>
        <w:rPr>
          <w:rFonts w:ascii="Arial" w:hAnsi="Arial" w:cs="Arial"/>
          <w:sz w:val="20"/>
          <w:szCs w:val="20"/>
        </w:rPr>
      </w:pPr>
      <w:r w:rsidRPr="00CA6C0E">
        <w:rPr>
          <w:rFonts w:ascii="Arial" w:hAnsi="Arial" w:cs="Arial"/>
          <w:sz w:val="20"/>
          <w:szCs w:val="20"/>
        </w:rPr>
        <w:t>Podmínka v odst. 3.2 písm. d) je stanovena za účelem ochrany konkrétních evidovaných druhů netopýrů</w:t>
      </w:r>
      <w:r w:rsidR="009C0210">
        <w:rPr>
          <w:rFonts w:ascii="Arial" w:hAnsi="Arial" w:cs="Arial"/>
          <w:sz w:val="20"/>
          <w:szCs w:val="20"/>
        </w:rPr>
        <w:t xml:space="preserve">, </w:t>
      </w:r>
      <w:r w:rsidR="009C0210" w:rsidRPr="00CA6C0E">
        <w:rPr>
          <w:rFonts w:ascii="Arial" w:hAnsi="Arial" w:cs="Arial"/>
          <w:sz w:val="20"/>
          <w:szCs w:val="20"/>
        </w:rPr>
        <w:t>netopýr velk</w:t>
      </w:r>
      <w:r w:rsidR="009C0210">
        <w:rPr>
          <w:rFonts w:ascii="Arial" w:hAnsi="Arial" w:cs="Arial"/>
          <w:sz w:val="20"/>
          <w:szCs w:val="20"/>
        </w:rPr>
        <w:t xml:space="preserve">ý </w:t>
      </w:r>
      <w:r w:rsidR="009C0210" w:rsidRPr="00CA6C0E">
        <w:rPr>
          <w:rFonts w:ascii="Arial" w:hAnsi="Arial" w:cs="Arial"/>
          <w:sz w:val="20"/>
          <w:szCs w:val="20"/>
        </w:rPr>
        <w:t>(</w:t>
      </w:r>
      <w:proofErr w:type="spellStart"/>
      <w:r w:rsidR="009C0210" w:rsidRPr="00E847E6">
        <w:rPr>
          <w:rFonts w:ascii="Arial" w:hAnsi="Arial" w:cs="Arial"/>
          <w:i/>
          <w:iCs/>
          <w:sz w:val="20"/>
          <w:szCs w:val="20"/>
        </w:rPr>
        <w:t>Myotis</w:t>
      </w:r>
      <w:proofErr w:type="spellEnd"/>
      <w:r w:rsidR="009C0210" w:rsidRPr="00CA6C0E">
        <w:rPr>
          <w:rFonts w:ascii="Arial" w:hAnsi="Arial" w:cs="Arial"/>
          <w:sz w:val="20"/>
          <w:szCs w:val="20"/>
        </w:rPr>
        <w:t xml:space="preserve"> </w:t>
      </w:r>
      <w:proofErr w:type="spellStart"/>
      <w:r w:rsidR="009C0210" w:rsidRPr="00E847E6">
        <w:rPr>
          <w:rFonts w:ascii="Arial" w:hAnsi="Arial" w:cs="Arial"/>
          <w:i/>
          <w:iCs/>
          <w:sz w:val="20"/>
          <w:szCs w:val="20"/>
        </w:rPr>
        <w:t>myotis</w:t>
      </w:r>
      <w:proofErr w:type="spellEnd"/>
      <w:r w:rsidR="009C0210" w:rsidRPr="00CA6C0E">
        <w:rPr>
          <w:rFonts w:ascii="Arial" w:hAnsi="Arial" w:cs="Arial"/>
          <w:sz w:val="20"/>
          <w:szCs w:val="20"/>
        </w:rPr>
        <w:t>), netopýr</w:t>
      </w:r>
      <w:r w:rsidR="009C0210">
        <w:rPr>
          <w:rFonts w:ascii="Arial" w:hAnsi="Arial" w:cs="Arial"/>
          <w:sz w:val="20"/>
          <w:szCs w:val="20"/>
        </w:rPr>
        <w:t xml:space="preserve"> </w:t>
      </w:r>
      <w:r w:rsidR="00E3684B">
        <w:rPr>
          <w:rFonts w:ascii="Arial" w:hAnsi="Arial" w:cs="Arial"/>
          <w:sz w:val="20"/>
          <w:szCs w:val="20"/>
        </w:rPr>
        <w:t>vodní</w:t>
      </w:r>
      <w:r w:rsidR="009C0210">
        <w:rPr>
          <w:rFonts w:ascii="Arial" w:hAnsi="Arial" w:cs="Arial"/>
          <w:sz w:val="20"/>
          <w:szCs w:val="20"/>
        </w:rPr>
        <w:t xml:space="preserve"> </w:t>
      </w:r>
      <w:r w:rsidR="009C0210" w:rsidRPr="00CA6C0E">
        <w:rPr>
          <w:rFonts w:ascii="Arial" w:hAnsi="Arial" w:cs="Arial"/>
          <w:sz w:val="20"/>
          <w:szCs w:val="20"/>
        </w:rPr>
        <w:t>(</w:t>
      </w:r>
      <w:proofErr w:type="spellStart"/>
      <w:r w:rsidR="00E3684B">
        <w:rPr>
          <w:rFonts w:ascii="Arial" w:hAnsi="Arial" w:cs="Arial"/>
          <w:i/>
          <w:iCs/>
          <w:sz w:val="20"/>
          <w:szCs w:val="20"/>
        </w:rPr>
        <w:t>Myoti</w:t>
      </w:r>
      <w:r w:rsidR="009C0210" w:rsidRPr="00E847E6">
        <w:rPr>
          <w:rFonts w:ascii="Arial" w:hAnsi="Arial" w:cs="Arial"/>
          <w:i/>
          <w:iCs/>
          <w:sz w:val="20"/>
          <w:szCs w:val="20"/>
        </w:rPr>
        <w:t>s</w:t>
      </w:r>
      <w:proofErr w:type="spellEnd"/>
      <w:r w:rsidR="009C0210" w:rsidRPr="00CA6C0E">
        <w:rPr>
          <w:rFonts w:ascii="Arial" w:hAnsi="Arial" w:cs="Arial"/>
          <w:sz w:val="20"/>
          <w:szCs w:val="20"/>
        </w:rPr>
        <w:t xml:space="preserve"> </w:t>
      </w:r>
      <w:proofErr w:type="spellStart"/>
      <w:r w:rsidR="00E3684B">
        <w:rPr>
          <w:rFonts w:ascii="Arial" w:hAnsi="Arial" w:cs="Arial"/>
          <w:i/>
          <w:iCs/>
          <w:sz w:val="20"/>
          <w:szCs w:val="20"/>
        </w:rPr>
        <w:t>daubentonii</w:t>
      </w:r>
      <w:proofErr w:type="spellEnd"/>
      <w:r w:rsidR="009C0210" w:rsidRPr="00CA6C0E">
        <w:rPr>
          <w:rFonts w:ascii="Arial" w:hAnsi="Arial" w:cs="Arial"/>
          <w:sz w:val="20"/>
          <w:szCs w:val="20"/>
        </w:rPr>
        <w:t xml:space="preserve">) </w:t>
      </w:r>
      <w:r w:rsidR="00E3684B">
        <w:rPr>
          <w:rFonts w:ascii="Arial" w:hAnsi="Arial" w:cs="Arial"/>
          <w:sz w:val="20"/>
          <w:szCs w:val="20"/>
        </w:rPr>
        <w:t>a </w:t>
      </w:r>
      <w:r w:rsidR="009C0210" w:rsidRPr="00CA6C0E">
        <w:rPr>
          <w:rFonts w:ascii="Arial" w:hAnsi="Arial" w:cs="Arial"/>
          <w:sz w:val="20"/>
          <w:szCs w:val="20"/>
        </w:rPr>
        <w:t>netopýr rezav</w:t>
      </w:r>
      <w:r w:rsidR="009C0210">
        <w:rPr>
          <w:rFonts w:ascii="Arial" w:hAnsi="Arial" w:cs="Arial"/>
          <w:sz w:val="20"/>
          <w:szCs w:val="20"/>
        </w:rPr>
        <w:t xml:space="preserve">ý </w:t>
      </w:r>
      <w:r w:rsidR="009C0210" w:rsidRPr="00CA6C0E">
        <w:rPr>
          <w:rFonts w:ascii="Arial" w:hAnsi="Arial" w:cs="Arial"/>
          <w:sz w:val="20"/>
          <w:szCs w:val="20"/>
        </w:rPr>
        <w:t>(</w:t>
      </w:r>
      <w:proofErr w:type="spellStart"/>
      <w:r w:rsidR="009C0210" w:rsidRPr="00E847E6">
        <w:rPr>
          <w:rFonts w:ascii="Arial" w:hAnsi="Arial" w:cs="Arial"/>
          <w:i/>
          <w:iCs/>
          <w:sz w:val="20"/>
          <w:szCs w:val="20"/>
        </w:rPr>
        <w:t>Nyctalus</w:t>
      </w:r>
      <w:proofErr w:type="spellEnd"/>
      <w:r w:rsidR="009C0210" w:rsidRPr="00CA6C0E">
        <w:rPr>
          <w:rFonts w:ascii="Arial" w:hAnsi="Arial" w:cs="Arial"/>
          <w:sz w:val="20"/>
          <w:szCs w:val="20"/>
        </w:rPr>
        <w:t xml:space="preserve"> </w:t>
      </w:r>
      <w:proofErr w:type="spellStart"/>
      <w:r w:rsidR="009C0210" w:rsidRPr="00E847E6">
        <w:rPr>
          <w:rFonts w:ascii="Arial" w:hAnsi="Arial" w:cs="Arial"/>
          <w:i/>
          <w:iCs/>
          <w:sz w:val="20"/>
          <w:szCs w:val="20"/>
        </w:rPr>
        <w:t>noctula</w:t>
      </w:r>
      <w:proofErr w:type="spellEnd"/>
      <w:r w:rsidR="009C0210">
        <w:rPr>
          <w:rFonts w:ascii="Arial" w:hAnsi="Arial" w:cs="Arial"/>
          <w:i/>
          <w:iCs/>
          <w:sz w:val="20"/>
          <w:szCs w:val="20"/>
        </w:rPr>
        <w:t>)</w:t>
      </w:r>
      <w:r w:rsidRPr="00CA6C0E">
        <w:rPr>
          <w:rFonts w:ascii="Arial" w:hAnsi="Arial" w:cs="Arial"/>
          <w:sz w:val="20"/>
          <w:szCs w:val="20"/>
        </w:rPr>
        <w:t>. Odpuzovače, případně zařízení pro identifikaci netopýrů a následné zpomalení až zastavení rotoru VTE mají schopnost výrazně snižovat mortalitu a zároveň umožnit výstavbu VTE i v oblastech se zvýšeným výskytem citlivých druhů. Přestože vymezení akcelerační oblasti respektovalo ochranná pásma kolem letních kolonií a zimovišť netopýrů, nebylo možné se vyhnout všem detekovaným místům, bez plošné eliminace.</w:t>
      </w:r>
    </w:p>
    <w:p w14:paraId="0DBDE08B" w14:textId="169CB9C7" w:rsidR="300FCC45" w:rsidRPr="00CA6C0E" w:rsidRDefault="300FCC45" w:rsidP="00ED0015">
      <w:pPr>
        <w:spacing w:after="120" w:line="276" w:lineRule="auto"/>
        <w:jc w:val="both"/>
        <w:rPr>
          <w:rFonts w:ascii="Arial" w:hAnsi="Arial" w:cs="Arial"/>
          <w:sz w:val="20"/>
          <w:szCs w:val="20"/>
        </w:rPr>
      </w:pPr>
      <w:r w:rsidRPr="00CA6C0E">
        <w:rPr>
          <w:rFonts w:ascii="Arial" w:hAnsi="Arial" w:cs="Arial"/>
          <w:sz w:val="20"/>
          <w:szCs w:val="20"/>
        </w:rPr>
        <w:t>Podmínka v odst. 3.2 písm. e) je stanovena za účelem obecné ochrany ptáků. Provoz VTE představuje určité riziko pro volně žijící ptáky. Monitoring je zaměřen na přímou mortalitu ptáků v důsledku kolize s</w:t>
      </w:r>
      <w:r w:rsidR="00DC59D6">
        <w:rPr>
          <w:rFonts w:ascii="Arial" w:hAnsi="Arial" w:cs="Arial"/>
          <w:sz w:val="20"/>
          <w:szCs w:val="20"/>
        </w:rPr>
        <w:t> </w:t>
      </w:r>
      <w:r w:rsidRPr="00CA6C0E">
        <w:rPr>
          <w:rFonts w:ascii="Arial" w:hAnsi="Arial" w:cs="Arial"/>
          <w:sz w:val="20"/>
          <w:szCs w:val="20"/>
        </w:rPr>
        <w:t>lopatkami VTE. Pravidla monitoringu jsou v podmínce nastavena dle nejlepší tuzemské i zahraniční praxe. Výsledky monitoringu umožní omezení mortality v době po uvedení VTE do provozu díky nastaveným zmírňujícím opatřením.</w:t>
      </w:r>
    </w:p>
    <w:p w14:paraId="69A261EF" w14:textId="782B7834" w:rsidR="300FCC45" w:rsidRPr="00CA6C0E" w:rsidRDefault="300FCC45" w:rsidP="00CB49C7">
      <w:pPr>
        <w:spacing w:after="240" w:line="276" w:lineRule="auto"/>
        <w:jc w:val="both"/>
        <w:rPr>
          <w:rFonts w:ascii="Arial" w:hAnsi="Arial" w:cs="Arial"/>
          <w:sz w:val="20"/>
          <w:szCs w:val="20"/>
        </w:rPr>
      </w:pPr>
      <w:r w:rsidRPr="00CA6C0E">
        <w:rPr>
          <w:rFonts w:ascii="Arial" w:hAnsi="Arial" w:cs="Arial"/>
          <w:sz w:val="20"/>
          <w:szCs w:val="20"/>
        </w:rPr>
        <w:t>Podmínka v odst. 3.2 písm. f) je stanovena z důvodu ochrany citlivých druhů netopýrů vůči VTE v ČR: netopýra velkého (</w:t>
      </w:r>
      <w:proofErr w:type="spellStart"/>
      <w:r w:rsidRPr="00E847E6">
        <w:rPr>
          <w:rFonts w:ascii="Arial" w:hAnsi="Arial" w:cs="Arial"/>
          <w:i/>
          <w:iCs/>
          <w:sz w:val="20"/>
          <w:szCs w:val="20"/>
        </w:rPr>
        <w:t>Myotis</w:t>
      </w:r>
      <w:proofErr w:type="spellEnd"/>
      <w:r w:rsidRPr="00CA6C0E">
        <w:rPr>
          <w:rFonts w:ascii="Arial" w:hAnsi="Arial" w:cs="Arial"/>
          <w:sz w:val="20"/>
          <w:szCs w:val="20"/>
        </w:rPr>
        <w:t xml:space="preserve"> </w:t>
      </w:r>
      <w:proofErr w:type="spellStart"/>
      <w:r w:rsidRPr="00E847E6">
        <w:rPr>
          <w:rFonts w:ascii="Arial" w:hAnsi="Arial" w:cs="Arial"/>
          <w:i/>
          <w:iCs/>
          <w:sz w:val="20"/>
          <w:szCs w:val="20"/>
        </w:rPr>
        <w:t>myotis</w:t>
      </w:r>
      <w:proofErr w:type="spellEnd"/>
      <w:r w:rsidRPr="00CA6C0E">
        <w:rPr>
          <w:rFonts w:ascii="Arial" w:hAnsi="Arial" w:cs="Arial"/>
          <w:sz w:val="20"/>
          <w:szCs w:val="20"/>
        </w:rPr>
        <w:t>), netopýra hvízdavého (</w:t>
      </w:r>
      <w:proofErr w:type="spellStart"/>
      <w:r w:rsidRPr="00E847E6">
        <w:rPr>
          <w:rFonts w:ascii="Arial" w:hAnsi="Arial" w:cs="Arial"/>
          <w:i/>
          <w:iCs/>
          <w:sz w:val="20"/>
          <w:szCs w:val="20"/>
        </w:rPr>
        <w:t>Pipistrellus</w:t>
      </w:r>
      <w:proofErr w:type="spellEnd"/>
      <w:r w:rsidRPr="00CA6C0E">
        <w:rPr>
          <w:rFonts w:ascii="Arial" w:hAnsi="Arial" w:cs="Arial"/>
          <w:sz w:val="20"/>
          <w:szCs w:val="20"/>
        </w:rPr>
        <w:t xml:space="preserve"> </w:t>
      </w:r>
      <w:proofErr w:type="spellStart"/>
      <w:r w:rsidRPr="00E847E6">
        <w:rPr>
          <w:rFonts w:ascii="Arial" w:hAnsi="Arial" w:cs="Arial"/>
          <w:i/>
          <w:iCs/>
          <w:sz w:val="20"/>
          <w:szCs w:val="20"/>
        </w:rPr>
        <w:t>pipistrellus</w:t>
      </w:r>
      <w:proofErr w:type="spellEnd"/>
      <w:r w:rsidRPr="00CA6C0E">
        <w:rPr>
          <w:rFonts w:ascii="Arial" w:hAnsi="Arial" w:cs="Arial"/>
          <w:sz w:val="20"/>
          <w:szCs w:val="20"/>
        </w:rPr>
        <w:t>), netopýra nejmenšího (</w:t>
      </w:r>
      <w:proofErr w:type="spellStart"/>
      <w:r w:rsidRPr="00E847E6">
        <w:rPr>
          <w:rFonts w:ascii="Arial" w:hAnsi="Arial" w:cs="Arial"/>
          <w:i/>
          <w:iCs/>
          <w:sz w:val="20"/>
          <w:szCs w:val="20"/>
        </w:rPr>
        <w:t>Pipistrellus</w:t>
      </w:r>
      <w:proofErr w:type="spellEnd"/>
      <w:r w:rsidRPr="00CA6C0E">
        <w:rPr>
          <w:rFonts w:ascii="Arial" w:hAnsi="Arial" w:cs="Arial"/>
          <w:sz w:val="20"/>
          <w:szCs w:val="20"/>
        </w:rPr>
        <w:t xml:space="preserve"> </w:t>
      </w:r>
      <w:proofErr w:type="spellStart"/>
      <w:r w:rsidRPr="00E847E6">
        <w:rPr>
          <w:rFonts w:ascii="Arial" w:hAnsi="Arial" w:cs="Arial"/>
          <w:i/>
          <w:iCs/>
          <w:sz w:val="20"/>
          <w:szCs w:val="20"/>
        </w:rPr>
        <w:t>pygmaeus</w:t>
      </w:r>
      <w:proofErr w:type="spellEnd"/>
      <w:r w:rsidRPr="00CA6C0E">
        <w:rPr>
          <w:rFonts w:ascii="Arial" w:hAnsi="Arial" w:cs="Arial"/>
          <w:sz w:val="20"/>
          <w:szCs w:val="20"/>
        </w:rPr>
        <w:t>), netopýra rezavého (</w:t>
      </w:r>
      <w:proofErr w:type="spellStart"/>
      <w:r w:rsidRPr="00E847E6">
        <w:rPr>
          <w:rFonts w:ascii="Arial" w:hAnsi="Arial" w:cs="Arial"/>
          <w:i/>
          <w:iCs/>
          <w:sz w:val="20"/>
          <w:szCs w:val="20"/>
        </w:rPr>
        <w:t>Nyctalus</w:t>
      </w:r>
      <w:proofErr w:type="spellEnd"/>
      <w:r w:rsidRPr="00CA6C0E">
        <w:rPr>
          <w:rFonts w:ascii="Arial" w:hAnsi="Arial" w:cs="Arial"/>
          <w:sz w:val="20"/>
          <w:szCs w:val="20"/>
        </w:rPr>
        <w:t xml:space="preserve"> </w:t>
      </w:r>
      <w:proofErr w:type="spellStart"/>
      <w:r w:rsidRPr="00E847E6">
        <w:rPr>
          <w:rFonts w:ascii="Arial" w:hAnsi="Arial" w:cs="Arial"/>
          <w:i/>
          <w:iCs/>
          <w:sz w:val="20"/>
          <w:szCs w:val="20"/>
        </w:rPr>
        <w:t>noctula</w:t>
      </w:r>
      <w:proofErr w:type="spellEnd"/>
      <w:r w:rsidRPr="00CA6C0E">
        <w:rPr>
          <w:rFonts w:ascii="Arial" w:hAnsi="Arial" w:cs="Arial"/>
          <w:sz w:val="20"/>
          <w:szCs w:val="20"/>
        </w:rPr>
        <w:t>). Monitoring je zaměřen na detekci letové aktivity rizikových druhů netopýrů v okolí VTE. Pravidla monitoringu jsou v podmínce nastavena dle</w:t>
      </w:r>
      <w:r w:rsidR="00E847E6">
        <w:rPr>
          <w:rFonts w:ascii="Arial" w:hAnsi="Arial" w:cs="Arial"/>
          <w:sz w:val="20"/>
          <w:szCs w:val="20"/>
        </w:rPr>
        <w:t> </w:t>
      </w:r>
      <w:r w:rsidRPr="00CA6C0E">
        <w:rPr>
          <w:rFonts w:ascii="Arial" w:hAnsi="Arial" w:cs="Arial"/>
          <w:sz w:val="20"/>
          <w:szCs w:val="20"/>
        </w:rPr>
        <w:t>nejlepší tuzemské i zahraniční praxe. Na základě výsledků monitoringu lze nastavit dodatečná zmírňující opatření k eliminaci mortality uvedených netopýrů v době po zavedení VTE do provozu.</w:t>
      </w:r>
    </w:p>
    <w:p w14:paraId="29DF823A" w14:textId="0D9EDEF3" w:rsidR="00BC2387" w:rsidRPr="00CA6C0E" w:rsidRDefault="004D4B2E" w:rsidP="00A04ECB">
      <w:pPr>
        <w:pStyle w:val="Titulek"/>
        <w:spacing w:line="276" w:lineRule="auto"/>
        <w:jc w:val="both"/>
        <w:rPr>
          <w:rFonts w:ascii="Arial" w:hAnsi="Arial" w:cs="Arial"/>
          <w:color w:val="auto"/>
          <w:sz w:val="20"/>
          <w:szCs w:val="20"/>
        </w:rPr>
      </w:pPr>
      <w:bookmarkStart w:id="14" w:name="_Hlk219196068"/>
      <w:r>
        <w:rPr>
          <w:noProof/>
        </w:rPr>
        <w:lastRenderedPageBreak/>
        <w:drawing>
          <wp:inline distT="0" distB="0" distL="0" distR="0" wp14:anchorId="316BB4E6" wp14:editId="1CA3701C">
            <wp:extent cx="5760720" cy="3534770"/>
            <wp:effectExtent l="0" t="0" r="0" b="8890"/>
            <wp:docPr id="1531746923"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1746923" name=""/>
                    <pic:cNvPicPr/>
                  </pic:nvPicPr>
                  <pic:blipFill rotWithShape="1">
                    <a:blip r:embed="rId10"/>
                    <a:srcRect l="18629" t="15379" r="14903" b="17677"/>
                    <a:stretch>
                      <a:fillRect/>
                    </a:stretch>
                  </pic:blipFill>
                  <pic:spPr bwMode="auto">
                    <a:xfrm>
                      <a:off x="0" y="0"/>
                      <a:ext cx="5766651" cy="3538409"/>
                    </a:xfrm>
                    <a:prstGeom prst="rect">
                      <a:avLst/>
                    </a:prstGeom>
                    <a:ln>
                      <a:noFill/>
                    </a:ln>
                    <a:extLst>
                      <a:ext uri="{53640926-AAD7-44D8-BBD7-CCE9431645EC}">
                        <a14:shadowObscured xmlns:a14="http://schemas.microsoft.com/office/drawing/2010/main"/>
                      </a:ext>
                    </a:extLst>
                  </pic:spPr>
                </pic:pic>
              </a:graphicData>
            </a:graphic>
          </wp:inline>
        </w:drawing>
      </w:r>
      <w:r w:rsidR="00BC2387" w:rsidRPr="00CB49C7">
        <w:rPr>
          <w:rFonts w:asciiTheme="minorHAnsi" w:hAnsiTheme="minorHAnsi" w:cstheme="minorHAnsi"/>
          <w:color w:val="auto"/>
        </w:rPr>
        <w:t xml:space="preserve">Obr. č. </w:t>
      </w:r>
      <w:r w:rsidR="00BC2387" w:rsidRPr="00CB49C7">
        <w:rPr>
          <w:rFonts w:asciiTheme="minorHAnsi" w:hAnsiTheme="minorHAnsi" w:cstheme="minorHAnsi"/>
          <w:color w:val="auto"/>
        </w:rPr>
        <w:fldChar w:fldCharType="begin"/>
      </w:r>
      <w:r w:rsidR="00BC2387" w:rsidRPr="00CB49C7">
        <w:rPr>
          <w:rFonts w:asciiTheme="minorHAnsi" w:hAnsiTheme="minorHAnsi" w:cstheme="minorHAnsi"/>
          <w:color w:val="auto"/>
        </w:rPr>
        <w:instrText>SEQ Obrázek \* ARABIC</w:instrText>
      </w:r>
      <w:r w:rsidR="00BC2387" w:rsidRPr="00CB49C7">
        <w:rPr>
          <w:rFonts w:asciiTheme="minorHAnsi" w:hAnsiTheme="minorHAnsi" w:cstheme="minorHAnsi"/>
          <w:color w:val="auto"/>
        </w:rPr>
        <w:fldChar w:fldCharType="separate"/>
      </w:r>
      <w:r w:rsidR="00FE0147" w:rsidRPr="00CB49C7">
        <w:rPr>
          <w:rFonts w:asciiTheme="minorHAnsi" w:hAnsiTheme="minorHAnsi" w:cstheme="minorHAnsi"/>
          <w:noProof/>
          <w:color w:val="auto"/>
        </w:rPr>
        <w:t>1</w:t>
      </w:r>
      <w:r w:rsidR="00BC2387" w:rsidRPr="00CB49C7">
        <w:rPr>
          <w:rFonts w:asciiTheme="minorHAnsi" w:hAnsiTheme="minorHAnsi" w:cstheme="minorHAnsi"/>
          <w:color w:val="auto"/>
        </w:rPr>
        <w:fldChar w:fldCharType="end"/>
      </w:r>
      <w:r w:rsidR="00BC2387" w:rsidRPr="00CB49C7">
        <w:rPr>
          <w:rFonts w:asciiTheme="minorHAnsi" w:hAnsiTheme="minorHAnsi" w:cstheme="minorHAnsi"/>
          <w:color w:val="auto"/>
        </w:rPr>
        <w:t xml:space="preserve"> </w:t>
      </w:r>
      <w:r w:rsidR="0000624A" w:rsidRPr="00CB49C7">
        <w:rPr>
          <w:rFonts w:asciiTheme="minorHAnsi" w:hAnsiTheme="minorHAnsi" w:cstheme="minorHAnsi"/>
          <w:color w:val="auto"/>
        </w:rPr>
        <w:t>–</w:t>
      </w:r>
      <w:r w:rsidR="00BC2387" w:rsidRPr="00CB49C7">
        <w:rPr>
          <w:rFonts w:asciiTheme="minorHAnsi" w:hAnsiTheme="minorHAnsi" w:cstheme="minorHAnsi"/>
          <w:color w:val="auto"/>
        </w:rPr>
        <w:t xml:space="preserve"> </w:t>
      </w:r>
      <w:r w:rsidR="0000624A" w:rsidRPr="00CB49C7">
        <w:rPr>
          <w:rFonts w:asciiTheme="minorHAnsi" w:hAnsiTheme="minorHAnsi" w:cstheme="minorHAnsi"/>
          <w:color w:val="auto"/>
        </w:rPr>
        <w:t>informativní zobrazení vymezení akcelerační oblasti v rámci území, pro které bylo zpracováno biologické posouzení</w:t>
      </w:r>
      <w:r w:rsidR="0000624A" w:rsidRPr="00786697">
        <w:rPr>
          <w:rFonts w:ascii="Arial" w:hAnsi="Arial" w:cs="Arial"/>
          <w:color w:val="auto"/>
        </w:rPr>
        <w:t xml:space="preserve"> </w:t>
      </w:r>
    </w:p>
    <w:bookmarkEnd w:id="14"/>
    <w:p w14:paraId="33CB4733" w14:textId="77777777" w:rsidR="00D441B7" w:rsidRDefault="00D441B7" w:rsidP="00D441B7">
      <w:pPr>
        <w:spacing w:before="240" w:after="120" w:line="276" w:lineRule="auto"/>
        <w:jc w:val="both"/>
        <w:rPr>
          <w:rFonts w:ascii="Arial" w:eastAsia="Arial" w:hAnsi="Arial" w:cs="Arial"/>
          <w:sz w:val="20"/>
          <w:szCs w:val="20"/>
        </w:rPr>
      </w:pPr>
      <w:r w:rsidRPr="009C65B6">
        <w:rPr>
          <w:rFonts w:ascii="Arial" w:eastAsia="Arial" w:hAnsi="Arial" w:cs="Arial"/>
          <w:sz w:val="20"/>
          <w:szCs w:val="20"/>
        </w:rPr>
        <w:t>Územní opatření je zpracováno v jednotném standardu dle § 36 odst. 3) vyhlášky č. 157/2024 Sb., o územně analytických podkladech, územně plánovací dokumentaci a jednotném standardu.</w:t>
      </w:r>
    </w:p>
    <w:p w14:paraId="6D9B842B" w14:textId="50BB7F60" w:rsidR="009B2B2A" w:rsidRPr="00CA6C0E" w:rsidRDefault="009A75CC" w:rsidP="00A04ECB">
      <w:pPr>
        <w:pStyle w:val="Zkladntext"/>
        <w:spacing w:line="276" w:lineRule="auto"/>
        <w:jc w:val="both"/>
      </w:pPr>
      <w:r w:rsidRPr="00CA6C0E">
        <w:t xml:space="preserve">Územní opatření se vydává na dobu neurčitou. </w:t>
      </w:r>
      <w:r w:rsidR="00171FFE" w:rsidRPr="00CA6C0E">
        <w:t xml:space="preserve">Dostatečnost podmínek uvedených v územním opatření </w:t>
      </w:r>
      <w:r w:rsidRPr="00CA6C0E">
        <w:t>bude prověřován</w:t>
      </w:r>
      <w:r w:rsidR="00171FFE" w:rsidRPr="00CA6C0E">
        <w:t>a</w:t>
      </w:r>
      <w:r w:rsidRPr="00CA6C0E">
        <w:t xml:space="preserve"> v rámci zprávy o</w:t>
      </w:r>
      <w:r w:rsidR="009B2B2A" w:rsidRPr="00CA6C0E">
        <w:t> </w:t>
      </w:r>
      <w:r w:rsidRPr="00CA6C0E">
        <w:t>uplatňování územně plánovací dokumentace.</w:t>
      </w:r>
      <w:r w:rsidR="009B2B2A" w:rsidRPr="00CA6C0E">
        <w:t xml:space="preserve"> Územní opatření pozbude účinnosti dnem vydání nové územně plánovací dokumentace nebo zrušením vymezení akcelerační oblasti, pro jejíž území bylo vydáno.</w:t>
      </w:r>
    </w:p>
    <w:p w14:paraId="0410940D" w14:textId="3B511E12" w:rsidR="009A75CC" w:rsidRPr="00CA6C0E" w:rsidRDefault="003258AF" w:rsidP="00A04ECB">
      <w:pPr>
        <w:pStyle w:val="Zkladntext"/>
        <w:spacing w:line="276" w:lineRule="auto"/>
        <w:jc w:val="both"/>
      </w:pPr>
      <w:r w:rsidRPr="00CA6C0E">
        <w:t xml:space="preserve">Toto opatření obecné povahy </w:t>
      </w:r>
      <w:r w:rsidR="00475BF4" w:rsidRPr="00CA6C0E">
        <w:t>se podle § 173 odst. 1 správního řádu oznamuje veřejnou vyhláškou a nabývá účinnosti patnáctým dnem po vyvěšení veřejné vyhlášky.</w:t>
      </w:r>
    </w:p>
    <w:p w14:paraId="6EC3E947" w14:textId="512DDA31" w:rsidR="006D351E" w:rsidRPr="00FE0147" w:rsidRDefault="00807E72" w:rsidP="00FE0147">
      <w:pPr>
        <w:pStyle w:val="Zkladntext"/>
        <w:spacing w:line="276" w:lineRule="auto"/>
        <w:jc w:val="both"/>
      </w:pPr>
      <w:r w:rsidRPr="00CA6C0E">
        <w:t>Podle § 173 odst. 2 správního řádu proti opatření obecné povahy nelze podat opravný prostředek. Podle § 172 odst. 2 správního řádu lze soulad opatření obecné povahy s právními předpisy posoudit v</w:t>
      </w:r>
      <w:r w:rsidR="00F678C4" w:rsidRPr="00CA6C0E">
        <w:t> </w:t>
      </w:r>
      <w:r w:rsidRPr="00CA6C0E">
        <w:t>přezkumném řízení, přičemž usnesení o zahájení přezkumného řízení lze vydat do 1 roku od účinnosti opatření.</w:t>
      </w:r>
    </w:p>
    <w:sectPr w:rsidR="006D351E" w:rsidRPr="00FE0147">
      <w:footerReference w:type="default" r:id="rId11"/>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F98490F" w14:textId="77777777" w:rsidR="007371A4" w:rsidRDefault="007371A4" w:rsidP="006D7C56">
      <w:r>
        <w:separator/>
      </w:r>
    </w:p>
  </w:endnote>
  <w:endnote w:type="continuationSeparator" w:id="0">
    <w:p w14:paraId="438EEE4C" w14:textId="77777777" w:rsidR="007371A4" w:rsidRDefault="007371A4" w:rsidP="006D7C5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683945"/>
      <w:docPartObj>
        <w:docPartGallery w:val="Page Numbers (Bottom of Page)"/>
        <w:docPartUnique/>
      </w:docPartObj>
    </w:sdtPr>
    <w:sdtEndPr>
      <w:rPr>
        <w:rFonts w:ascii="Arial" w:hAnsi="Arial" w:cs="Arial"/>
        <w:sz w:val="20"/>
        <w:szCs w:val="20"/>
      </w:rPr>
    </w:sdtEndPr>
    <w:sdtContent>
      <w:p w14:paraId="182DD9B3" w14:textId="0373A583" w:rsidR="006D7C56" w:rsidRPr="008B79E2" w:rsidRDefault="006D7C56" w:rsidP="006D7C56">
        <w:pPr>
          <w:pStyle w:val="Zpat"/>
          <w:jc w:val="center"/>
          <w:rPr>
            <w:rFonts w:ascii="Arial" w:hAnsi="Arial" w:cs="Arial"/>
            <w:sz w:val="20"/>
            <w:szCs w:val="20"/>
          </w:rPr>
        </w:pPr>
        <w:r w:rsidRPr="008B79E2">
          <w:rPr>
            <w:rFonts w:ascii="Arial" w:hAnsi="Arial" w:cs="Arial"/>
            <w:sz w:val="20"/>
            <w:szCs w:val="20"/>
          </w:rPr>
          <w:fldChar w:fldCharType="begin"/>
        </w:r>
        <w:r w:rsidRPr="008B79E2">
          <w:rPr>
            <w:rFonts w:ascii="Arial" w:hAnsi="Arial" w:cs="Arial"/>
            <w:sz w:val="20"/>
            <w:szCs w:val="20"/>
          </w:rPr>
          <w:instrText>PAGE   \* MERGEFORMAT</w:instrText>
        </w:r>
        <w:r w:rsidRPr="008B79E2">
          <w:rPr>
            <w:rFonts w:ascii="Arial" w:hAnsi="Arial" w:cs="Arial"/>
            <w:sz w:val="20"/>
            <w:szCs w:val="20"/>
          </w:rPr>
          <w:fldChar w:fldCharType="separate"/>
        </w:r>
        <w:r w:rsidRPr="008B79E2">
          <w:rPr>
            <w:rFonts w:ascii="Arial" w:hAnsi="Arial" w:cs="Arial"/>
            <w:sz w:val="20"/>
            <w:szCs w:val="20"/>
          </w:rPr>
          <w:t>2</w:t>
        </w:r>
        <w:r w:rsidRPr="008B79E2">
          <w:rPr>
            <w:rFonts w:ascii="Arial" w:hAnsi="Arial" w:cs="Arial"/>
            <w:sz w:val="20"/>
            <w:szCs w:val="20"/>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7AA5916" w14:textId="77777777" w:rsidR="007371A4" w:rsidRDefault="007371A4" w:rsidP="006D7C56">
      <w:r>
        <w:separator/>
      </w:r>
    </w:p>
  </w:footnote>
  <w:footnote w:type="continuationSeparator" w:id="0">
    <w:p w14:paraId="6A441244" w14:textId="77777777" w:rsidR="007371A4" w:rsidRDefault="007371A4" w:rsidP="006D7C5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4410CA"/>
    <w:multiLevelType w:val="hybridMultilevel"/>
    <w:tmpl w:val="84EE1EA4"/>
    <w:lvl w:ilvl="0" w:tplc="F9EA336C">
      <w:start w:val="1"/>
      <w:numFmt w:val="decimal"/>
      <w:lvlText w:val="3.%1."/>
      <w:lvlJc w:val="left"/>
      <w:pPr>
        <w:ind w:left="720" w:hanging="360"/>
      </w:pPr>
      <w:rPr>
        <w:rFonts w:hint="default"/>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05A12E65"/>
    <w:multiLevelType w:val="multilevel"/>
    <w:tmpl w:val="BBFAE78C"/>
    <w:lvl w:ilvl="0">
      <w:start w:val="1"/>
      <w:numFmt w:val="lowerLetter"/>
      <w:lvlText w:val="%1)"/>
      <w:lvlJc w:val="left"/>
      <w:pPr>
        <w:ind w:left="1211" w:hanging="360"/>
      </w:pPr>
      <w:rPr>
        <w:rFonts w:hint="default"/>
        <w:b w:val="0"/>
        <w:bCs w:val="0"/>
        <w:color w:val="auto"/>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2" w15:restartNumberingAfterBreak="0">
    <w:nsid w:val="0F8E5DFA"/>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3" w15:restartNumberingAfterBreak="0">
    <w:nsid w:val="10083267"/>
    <w:multiLevelType w:val="hybridMultilevel"/>
    <w:tmpl w:val="82BA9730"/>
    <w:lvl w:ilvl="0" w:tplc="8C0E5B9A">
      <w:start w:val="1"/>
      <w:numFmt w:val="decimal"/>
      <w:lvlText w:val="%1)"/>
      <w:lvlJc w:val="left"/>
      <w:pPr>
        <w:ind w:left="1068" w:hanging="360"/>
      </w:pPr>
      <w:rPr>
        <w:rFonts w:hint="default"/>
      </w:rPr>
    </w:lvl>
    <w:lvl w:ilvl="1" w:tplc="04050019" w:tentative="1">
      <w:start w:val="1"/>
      <w:numFmt w:val="lowerLetter"/>
      <w:lvlText w:val="%2."/>
      <w:lvlJc w:val="left"/>
      <w:pPr>
        <w:ind w:left="1788" w:hanging="360"/>
      </w:pPr>
    </w:lvl>
    <w:lvl w:ilvl="2" w:tplc="0405001B" w:tentative="1">
      <w:start w:val="1"/>
      <w:numFmt w:val="lowerRoman"/>
      <w:lvlText w:val="%3."/>
      <w:lvlJc w:val="right"/>
      <w:pPr>
        <w:ind w:left="2508" w:hanging="180"/>
      </w:pPr>
    </w:lvl>
    <w:lvl w:ilvl="3" w:tplc="0405000F" w:tentative="1">
      <w:start w:val="1"/>
      <w:numFmt w:val="decimal"/>
      <w:lvlText w:val="%4."/>
      <w:lvlJc w:val="left"/>
      <w:pPr>
        <w:ind w:left="3228" w:hanging="360"/>
      </w:pPr>
    </w:lvl>
    <w:lvl w:ilvl="4" w:tplc="04050019" w:tentative="1">
      <w:start w:val="1"/>
      <w:numFmt w:val="lowerLetter"/>
      <w:lvlText w:val="%5."/>
      <w:lvlJc w:val="left"/>
      <w:pPr>
        <w:ind w:left="3948" w:hanging="360"/>
      </w:pPr>
    </w:lvl>
    <w:lvl w:ilvl="5" w:tplc="0405001B" w:tentative="1">
      <w:start w:val="1"/>
      <w:numFmt w:val="lowerRoman"/>
      <w:lvlText w:val="%6."/>
      <w:lvlJc w:val="right"/>
      <w:pPr>
        <w:ind w:left="4668" w:hanging="180"/>
      </w:pPr>
    </w:lvl>
    <w:lvl w:ilvl="6" w:tplc="0405000F" w:tentative="1">
      <w:start w:val="1"/>
      <w:numFmt w:val="decimal"/>
      <w:lvlText w:val="%7."/>
      <w:lvlJc w:val="left"/>
      <w:pPr>
        <w:ind w:left="5388" w:hanging="360"/>
      </w:pPr>
    </w:lvl>
    <w:lvl w:ilvl="7" w:tplc="04050019" w:tentative="1">
      <w:start w:val="1"/>
      <w:numFmt w:val="lowerLetter"/>
      <w:lvlText w:val="%8."/>
      <w:lvlJc w:val="left"/>
      <w:pPr>
        <w:ind w:left="6108" w:hanging="360"/>
      </w:pPr>
    </w:lvl>
    <w:lvl w:ilvl="8" w:tplc="0405001B" w:tentative="1">
      <w:start w:val="1"/>
      <w:numFmt w:val="lowerRoman"/>
      <w:lvlText w:val="%9."/>
      <w:lvlJc w:val="right"/>
      <w:pPr>
        <w:ind w:left="6828" w:hanging="180"/>
      </w:pPr>
    </w:lvl>
  </w:abstractNum>
  <w:abstractNum w:abstractNumId="4" w15:restartNumberingAfterBreak="0">
    <w:nsid w:val="13387773"/>
    <w:multiLevelType w:val="hybridMultilevel"/>
    <w:tmpl w:val="7E027986"/>
    <w:lvl w:ilvl="0" w:tplc="04050001">
      <w:start w:val="1"/>
      <w:numFmt w:val="bullet"/>
      <w:lvlText w:val=""/>
      <w:lvlJc w:val="left"/>
      <w:pPr>
        <w:ind w:left="2136" w:hanging="360"/>
      </w:pPr>
      <w:rPr>
        <w:rFonts w:ascii="Symbol" w:hAnsi="Symbol" w:hint="default"/>
      </w:rPr>
    </w:lvl>
    <w:lvl w:ilvl="1" w:tplc="04050003" w:tentative="1">
      <w:start w:val="1"/>
      <w:numFmt w:val="bullet"/>
      <w:lvlText w:val="o"/>
      <w:lvlJc w:val="left"/>
      <w:pPr>
        <w:ind w:left="2856" w:hanging="360"/>
      </w:pPr>
      <w:rPr>
        <w:rFonts w:ascii="Courier New" w:hAnsi="Courier New" w:cs="Courier New" w:hint="default"/>
      </w:rPr>
    </w:lvl>
    <w:lvl w:ilvl="2" w:tplc="04050005" w:tentative="1">
      <w:start w:val="1"/>
      <w:numFmt w:val="bullet"/>
      <w:lvlText w:val=""/>
      <w:lvlJc w:val="left"/>
      <w:pPr>
        <w:ind w:left="3576" w:hanging="360"/>
      </w:pPr>
      <w:rPr>
        <w:rFonts w:ascii="Wingdings" w:hAnsi="Wingdings" w:hint="default"/>
      </w:rPr>
    </w:lvl>
    <w:lvl w:ilvl="3" w:tplc="04050001" w:tentative="1">
      <w:start w:val="1"/>
      <w:numFmt w:val="bullet"/>
      <w:lvlText w:val=""/>
      <w:lvlJc w:val="left"/>
      <w:pPr>
        <w:ind w:left="4296" w:hanging="360"/>
      </w:pPr>
      <w:rPr>
        <w:rFonts w:ascii="Symbol" w:hAnsi="Symbol" w:hint="default"/>
      </w:rPr>
    </w:lvl>
    <w:lvl w:ilvl="4" w:tplc="04050003" w:tentative="1">
      <w:start w:val="1"/>
      <w:numFmt w:val="bullet"/>
      <w:lvlText w:val="o"/>
      <w:lvlJc w:val="left"/>
      <w:pPr>
        <w:ind w:left="5016" w:hanging="360"/>
      </w:pPr>
      <w:rPr>
        <w:rFonts w:ascii="Courier New" w:hAnsi="Courier New" w:cs="Courier New" w:hint="default"/>
      </w:rPr>
    </w:lvl>
    <w:lvl w:ilvl="5" w:tplc="04050005" w:tentative="1">
      <w:start w:val="1"/>
      <w:numFmt w:val="bullet"/>
      <w:lvlText w:val=""/>
      <w:lvlJc w:val="left"/>
      <w:pPr>
        <w:ind w:left="5736" w:hanging="360"/>
      </w:pPr>
      <w:rPr>
        <w:rFonts w:ascii="Wingdings" w:hAnsi="Wingdings" w:hint="default"/>
      </w:rPr>
    </w:lvl>
    <w:lvl w:ilvl="6" w:tplc="04050001" w:tentative="1">
      <w:start w:val="1"/>
      <w:numFmt w:val="bullet"/>
      <w:lvlText w:val=""/>
      <w:lvlJc w:val="left"/>
      <w:pPr>
        <w:ind w:left="6456" w:hanging="360"/>
      </w:pPr>
      <w:rPr>
        <w:rFonts w:ascii="Symbol" w:hAnsi="Symbol" w:hint="default"/>
      </w:rPr>
    </w:lvl>
    <w:lvl w:ilvl="7" w:tplc="04050003" w:tentative="1">
      <w:start w:val="1"/>
      <w:numFmt w:val="bullet"/>
      <w:lvlText w:val="o"/>
      <w:lvlJc w:val="left"/>
      <w:pPr>
        <w:ind w:left="7176" w:hanging="360"/>
      </w:pPr>
      <w:rPr>
        <w:rFonts w:ascii="Courier New" w:hAnsi="Courier New" w:cs="Courier New" w:hint="default"/>
      </w:rPr>
    </w:lvl>
    <w:lvl w:ilvl="8" w:tplc="04050005" w:tentative="1">
      <w:start w:val="1"/>
      <w:numFmt w:val="bullet"/>
      <w:lvlText w:val=""/>
      <w:lvlJc w:val="left"/>
      <w:pPr>
        <w:ind w:left="7896" w:hanging="360"/>
      </w:pPr>
      <w:rPr>
        <w:rFonts w:ascii="Wingdings" w:hAnsi="Wingdings" w:hint="default"/>
      </w:rPr>
    </w:lvl>
  </w:abstractNum>
  <w:abstractNum w:abstractNumId="5" w15:restartNumberingAfterBreak="0">
    <w:nsid w:val="150B0697"/>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6" w15:restartNumberingAfterBreak="0">
    <w:nsid w:val="172A6B9F"/>
    <w:multiLevelType w:val="hybridMultilevel"/>
    <w:tmpl w:val="4DB440CA"/>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7" w15:restartNumberingAfterBreak="0">
    <w:nsid w:val="17391D51"/>
    <w:multiLevelType w:val="hybridMultilevel"/>
    <w:tmpl w:val="F4DC4CC6"/>
    <w:lvl w:ilvl="0" w:tplc="FFFFFFFF">
      <w:start w:val="1"/>
      <w:numFmt w:val="lowerLetter"/>
      <w:lvlText w:val="%1)"/>
      <w:lvlJc w:val="left"/>
      <w:pPr>
        <w:ind w:left="1068" w:hanging="360"/>
      </w:p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8" w15:restartNumberingAfterBreak="0">
    <w:nsid w:val="18FF2C73"/>
    <w:multiLevelType w:val="multilevel"/>
    <w:tmpl w:val="DA32703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1A833825"/>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10" w15:restartNumberingAfterBreak="0">
    <w:nsid w:val="234C6435"/>
    <w:multiLevelType w:val="hybridMultilevel"/>
    <w:tmpl w:val="16A4EE8E"/>
    <w:lvl w:ilvl="0" w:tplc="ADE82C04">
      <w:numFmt w:val="bullet"/>
      <w:lvlText w:val="-"/>
      <w:lvlJc w:val="left"/>
      <w:pPr>
        <w:ind w:left="720" w:hanging="360"/>
      </w:pPr>
      <w:rPr>
        <w:rFonts w:ascii="Arial" w:eastAsiaTheme="minorHAnsi"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276D46F4"/>
    <w:multiLevelType w:val="hybridMultilevel"/>
    <w:tmpl w:val="806E8B3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15:restartNumberingAfterBreak="0">
    <w:nsid w:val="29931923"/>
    <w:multiLevelType w:val="hybridMultilevel"/>
    <w:tmpl w:val="5DECACA4"/>
    <w:lvl w:ilvl="0" w:tplc="04050017">
      <w:start w:val="6"/>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3" w15:restartNumberingAfterBreak="0">
    <w:nsid w:val="2B954172"/>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14" w15:restartNumberingAfterBreak="0">
    <w:nsid w:val="30CD6D86"/>
    <w:multiLevelType w:val="hybridMultilevel"/>
    <w:tmpl w:val="BBFAE78C"/>
    <w:lvl w:ilvl="0" w:tplc="4BA21324">
      <w:start w:val="1"/>
      <w:numFmt w:val="lowerLetter"/>
      <w:lvlText w:val="%1)"/>
      <w:lvlJc w:val="left"/>
      <w:pPr>
        <w:ind w:left="1211" w:hanging="360"/>
      </w:pPr>
      <w:rPr>
        <w:b w:val="0"/>
        <w:bCs w:val="0"/>
        <w:color w:val="auto"/>
      </w:rPr>
    </w:lvl>
    <w:lvl w:ilvl="1" w:tplc="CE3443EA">
      <w:start w:val="1"/>
      <w:numFmt w:val="decimal"/>
      <w:lvlText w:val="%2."/>
      <w:lvlJc w:val="left"/>
      <w:pPr>
        <w:ind w:left="1788" w:hanging="360"/>
      </w:pPr>
    </w:lvl>
    <w:lvl w:ilvl="2" w:tplc="FE2A141A">
      <w:start w:val="1"/>
      <w:numFmt w:val="lowerRoman"/>
      <w:lvlText w:val="%3."/>
      <w:lvlJc w:val="right"/>
      <w:pPr>
        <w:ind w:left="2508" w:hanging="180"/>
      </w:pPr>
    </w:lvl>
    <w:lvl w:ilvl="3" w:tplc="7492798C">
      <w:start w:val="1"/>
      <w:numFmt w:val="decimal"/>
      <w:lvlText w:val="%4."/>
      <w:lvlJc w:val="left"/>
      <w:pPr>
        <w:ind w:left="3228" w:hanging="360"/>
      </w:pPr>
    </w:lvl>
    <w:lvl w:ilvl="4" w:tplc="5094C2C4">
      <w:start w:val="1"/>
      <w:numFmt w:val="lowerLetter"/>
      <w:lvlText w:val="%5."/>
      <w:lvlJc w:val="left"/>
      <w:pPr>
        <w:ind w:left="3948" w:hanging="360"/>
      </w:pPr>
    </w:lvl>
    <w:lvl w:ilvl="5" w:tplc="71C4EAE2">
      <w:start w:val="1"/>
      <w:numFmt w:val="lowerRoman"/>
      <w:lvlText w:val="%6."/>
      <w:lvlJc w:val="right"/>
      <w:pPr>
        <w:ind w:left="4668" w:hanging="180"/>
      </w:pPr>
    </w:lvl>
    <w:lvl w:ilvl="6" w:tplc="9D4E4BA8">
      <w:start w:val="1"/>
      <w:numFmt w:val="decimal"/>
      <w:lvlText w:val="%7."/>
      <w:lvlJc w:val="left"/>
      <w:pPr>
        <w:ind w:left="5388" w:hanging="360"/>
      </w:pPr>
    </w:lvl>
    <w:lvl w:ilvl="7" w:tplc="FA78882C">
      <w:start w:val="1"/>
      <w:numFmt w:val="lowerLetter"/>
      <w:lvlText w:val="%8."/>
      <w:lvlJc w:val="left"/>
      <w:pPr>
        <w:ind w:left="6108" w:hanging="360"/>
      </w:pPr>
    </w:lvl>
    <w:lvl w:ilvl="8" w:tplc="90801E36">
      <w:start w:val="1"/>
      <w:numFmt w:val="lowerRoman"/>
      <w:lvlText w:val="%9."/>
      <w:lvlJc w:val="right"/>
      <w:pPr>
        <w:ind w:left="6828" w:hanging="180"/>
      </w:pPr>
    </w:lvl>
  </w:abstractNum>
  <w:abstractNum w:abstractNumId="15" w15:restartNumberingAfterBreak="0">
    <w:nsid w:val="357B5E5E"/>
    <w:multiLevelType w:val="multilevel"/>
    <w:tmpl w:val="F47E4408"/>
    <w:lvl w:ilvl="0">
      <w:start w:val="1"/>
      <w:numFmt w:val="lowerLetter"/>
      <w:lvlText w:val="%1)"/>
      <w:lvlJc w:val="left"/>
      <w:pPr>
        <w:ind w:left="1211" w:hanging="360"/>
      </w:pPr>
    </w:lvl>
    <w:lvl w:ilvl="1">
      <w:start w:val="1"/>
      <w:numFmt w:val="decimal"/>
      <w:lvlText w:val="%2."/>
      <w:lvlJc w:val="left"/>
      <w:pPr>
        <w:ind w:left="1931" w:hanging="360"/>
      </w:pPr>
      <w:rPr>
        <w:rFonts w:hint="default"/>
      </w:rPr>
    </w:lvl>
    <w:lvl w:ilvl="2">
      <w:start w:val="1"/>
      <w:numFmt w:val="lowerRoman"/>
      <w:lvlText w:val="%3."/>
      <w:lvlJc w:val="right"/>
      <w:pPr>
        <w:ind w:left="2651" w:hanging="180"/>
      </w:pPr>
      <w:rPr>
        <w:rFonts w:hint="default"/>
      </w:rPr>
    </w:lvl>
    <w:lvl w:ilvl="3">
      <w:start w:val="1"/>
      <w:numFmt w:val="decimal"/>
      <w:lvlText w:val="%4."/>
      <w:lvlJc w:val="left"/>
      <w:pPr>
        <w:ind w:left="3371" w:hanging="360"/>
      </w:pPr>
      <w:rPr>
        <w:rFonts w:hint="default"/>
      </w:rPr>
    </w:lvl>
    <w:lvl w:ilvl="4">
      <w:start w:val="1"/>
      <w:numFmt w:val="lowerLetter"/>
      <w:lvlText w:val="%5."/>
      <w:lvlJc w:val="left"/>
      <w:pPr>
        <w:ind w:left="4091" w:hanging="360"/>
      </w:pPr>
      <w:rPr>
        <w:rFonts w:hint="default"/>
      </w:rPr>
    </w:lvl>
    <w:lvl w:ilvl="5">
      <w:start w:val="1"/>
      <w:numFmt w:val="lowerRoman"/>
      <w:lvlText w:val="%6."/>
      <w:lvlJc w:val="right"/>
      <w:pPr>
        <w:ind w:left="4811" w:hanging="180"/>
      </w:pPr>
      <w:rPr>
        <w:rFonts w:hint="default"/>
      </w:rPr>
    </w:lvl>
    <w:lvl w:ilvl="6">
      <w:start w:val="1"/>
      <w:numFmt w:val="decimal"/>
      <w:lvlText w:val="%7."/>
      <w:lvlJc w:val="left"/>
      <w:pPr>
        <w:ind w:left="5531" w:hanging="360"/>
      </w:pPr>
      <w:rPr>
        <w:rFonts w:hint="default"/>
      </w:rPr>
    </w:lvl>
    <w:lvl w:ilvl="7">
      <w:start w:val="1"/>
      <w:numFmt w:val="lowerLetter"/>
      <w:lvlText w:val="%8."/>
      <w:lvlJc w:val="left"/>
      <w:pPr>
        <w:ind w:left="6251" w:hanging="360"/>
      </w:pPr>
      <w:rPr>
        <w:rFonts w:hint="default"/>
      </w:rPr>
    </w:lvl>
    <w:lvl w:ilvl="8">
      <w:start w:val="1"/>
      <w:numFmt w:val="lowerRoman"/>
      <w:lvlText w:val="%9."/>
      <w:lvlJc w:val="right"/>
      <w:pPr>
        <w:ind w:left="6971" w:hanging="180"/>
      </w:pPr>
      <w:rPr>
        <w:rFonts w:hint="default"/>
      </w:rPr>
    </w:lvl>
  </w:abstractNum>
  <w:abstractNum w:abstractNumId="16" w15:restartNumberingAfterBreak="0">
    <w:nsid w:val="37437D36"/>
    <w:multiLevelType w:val="multilevel"/>
    <w:tmpl w:val="C37616FC"/>
    <w:lvl w:ilvl="0">
      <w:start w:val="1"/>
      <w:numFmt w:val="lowerLetter"/>
      <w:lvlText w:val="%1)"/>
      <w:lvlJc w:val="left"/>
      <w:pPr>
        <w:ind w:left="1211" w:hanging="360"/>
      </w:pPr>
    </w:lvl>
    <w:lvl w:ilvl="1">
      <w:start w:val="1"/>
      <w:numFmt w:val="lowerLetter"/>
      <w:lvlText w:val="%2."/>
      <w:lvlJc w:val="left"/>
      <w:pPr>
        <w:ind w:left="1931" w:hanging="360"/>
      </w:pPr>
    </w:lvl>
    <w:lvl w:ilvl="2">
      <w:start w:val="1"/>
      <w:numFmt w:val="lowerRoman"/>
      <w:lvlText w:val="%3."/>
      <w:lvlJc w:val="right"/>
      <w:pPr>
        <w:ind w:left="2651" w:hanging="180"/>
      </w:pPr>
    </w:lvl>
    <w:lvl w:ilvl="3">
      <w:start w:val="1"/>
      <w:numFmt w:val="decimal"/>
      <w:lvlText w:val="%4."/>
      <w:lvlJc w:val="left"/>
      <w:pPr>
        <w:ind w:left="3371" w:hanging="360"/>
      </w:pPr>
    </w:lvl>
    <w:lvl w:ilvl="4">
      <w:start w:val="1"/>
      <w:numFmt w:val="lowerLetter"/>
      <w:lvlText w:val="%5."/>
      <w:lvlJc w:val="left"/>
      <w:pPr>
        <w:ind w:left="4091" w:hanging="360"/>
      </w:pPr>
    </w:lvl>
    <w:lvl w:ilvl="5">
      <w:start w:val="1"/>
      <w:numFmt w:val="lowerRoman"/>
      <w:lvlText w:val="%6."/>
      <w:lvlJc w:val="right"/>
      <w:pPr>
        <w:ind w:left="4811" w:hanging="180"/>
      </w:pPr>
    </w:lvl>
    <w:lvl w:ilvl="6">
      <w:start w:val="1"/>
      <w:numFmt w:val="decimal"/>
      <w:lvlText w:val="%7."/>
      <w:lvlJc w:val="left"/>
      <w:pPr>
        <w:ind w:left="5531" w:hanging="360"/>
      </w:pPr>
    </w:lvl>
    <w:lvl w:ilvl="7">
      <w:start w:val="1"/>
      <w:numFmt w:val="lowerLetter"/>
      <w:lvlText w:val="%8."/>
      <w:lvlJc w:val="left"/>
      <w:pPr>
        <w:ind w:left="6251" w:hanging="360"/>
      </w:pPr>
    </w:lvl>
    <w:lvl w:ilvl="8">
      <w:start w:val="1"/>
      <w:numFmt w:val="lowerRoman"/>
      <w:lvlText w:val="%9."/>
      <w:lvlJc w:val="right"/>
      <w:pPr>
        <w:ind w:left="6971" w:hanging="180"/>
      </w:pPr>
    </w:lvl>
  </w:abstractNum>
  <w:abstractNum w:abstractNumId="17" w15:restartNumberingAfterBreak="0">
    <w:nsid w:val="3B765C50"/>
    <w:multiLevelType w:val="hybridMultilevel"/>
    <w:tmpl w:val="6E46136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3D98221F"/>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19" w15:restartNumberingAfterBreak="0">
    <w:nsid w:val="420610AA"/>
    <w:multiLevelType w:val="hybridMultilevel"/>
    <w:tmpl w:val="F10E376E"/>
    <w:lvl w:ilvl="0" w:tplc="C8C0E45C">
      <w:start w:val="1"/>
      <w:numFmt w:val="decimal"/>
      <w:lvlText w:val="%1)"/>
      <w:lvlJc w:val="left"/>
      <w:pPr>
        <w:ind w:left="720" w:hanging="360"/>
      </w:pPr>
    </w:lvl>
    <w:lvl w:ilvl="1" w:tplc="456460D0">
      <w:start w:val="1"/>
      <w:numFmt w:val="decimal"/>
      <w:lvlText w:val="%2)"/>
      <w:lvlJc w:val="left"/>
      <w:pPr>
        <w:ind w:left="720" w:hanging="360"/>
      </w:pPr>
    </w:lvl>
    <w:lvl w:ilvl="2" w:tplc="6D6C30FA">
      <w:start w:val="1"/>
      <w:numFmt w:val="decimal"/>
      <w:lvlText w:val="%3)"/>
      <w:lvlJc w:val="left"/>
      <w:pPr>
        <w:ind w:left="720" w:hanging="360"/>
      </w:pPr>
    </w:lvl>
    <w:lvl w:ilvl="3" w:tplc="33DA8A76">
      <w:start w:val="1"/>
      <w:numFmt w:val="decimal"/>
      <w:lvlText w:val="%4)"/>
      <w:lvlJc w:val="left"/>
      <w:pPr>
        <w:ind w:left="720" w:hanging="360"/>
      </w:pPr>
    </w:lvl>
    <w:lvl w:ilvl="4" w:tplc="4DC63A5A">
      <w:start w:val="1"/>
      <w:numFmt w:val="decimal"/>
      <w:lvlText w:val="%5)"/>
      <w:lvlJc w:val="left"/>
      <w:pPr>
        <w:ind w:left="720" w:hanging="360"/>
      </w:pPr>
    </w:lvl>
    <w:lvl w:ilvl="5" w:tplc="E3528188">
      <w:start w:val="1"/>
      <w:numFmt w:val="decimal"/>
      <w:lvlText w:val="%6)"/>
      <w:lvlJc w:val="left"/>
      <w:pPr>
        <w:ind w:left="720" w:hanging="360"/>
      </w:pPr>
    </w:lvl>
    <w:lvl w:ilvl="6" w:tplc="E050ED4E">
      <w:start w:val="1"/>
      <w:numFmt w:val="decimal"/>
      <w:lvlText w:val="%7)"/>
      <w:lvlJc w:val="left"/>
      <w:pPr>
        <w:ind w:left="720" w:hanging="360"/>
      </w:pPr>
    </w:lvl>
    <w:lvl w:ilvl="7" w:tplc="785016C0">
      <w:start w:val="1"/>
      <w:numFmt w:val="decimal"/>
      <w:lvlText w:val="%8)"/>
      <w:lvlJc w:val="left"/>
      <w:pPr>
        <w:ind w:left="720" w:hanging="360"/>
      </w:pPr>
    </w:lvl>
    <w:lvl w:ilvl="8" w:tplc="383CE852">
      <w:start w:val="1"/>
      <w:numFmt w:val="decimal"/>
      <w:lvlText w:val="%9)"/>
      <w:lvlJc w:val="left"/>
      <w:pPr>
        <w:ind w:left="720" w:hanging="360"/>
      </w:pPr>
    </w:lvl>
  </w:abstractNum>
  <w:abstractNum w:abstractNumId="20" w15:restartNumberingAfterBreak="0">
    <w:nsid w:val="42933463"/>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21" w15:restartNumberingAfterBreak="0">
    <w:nsid w:val="43CF1886"/>
    <w:multiLevelType w:val="hybridMultilevel"/>
    <w:tmpl w:val="B3D21BDA"/>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2" w15:restartNumberingAfterBreak="0">
    <w:nsid w:val="4C79778D"/>
    <w:multiLevelType w:val="hybridMultilevel"/>
    <w:tmpl w:val="05141A3E"/>
    <w:lvl w:ilvl="0" w:tplc="E9C27710">
      <w:start w:val="1"/>
      <w:numFmt w:val="bullet"/>
      <w:lvlText w:val="-"/>
      <w:lvlJc w:val="left"/>
      <w:pPr>
        <w:ind w:left="1428" w:hanging="360"/>
      </w:pPr>
      <w:rPr>
        <w:rFonts w:ascii="Arial" w:eastAsiaTheme="minorHAnsi" w:hAnsi="Arial" w:cs="Arial" w:hint="default"/>
      </w:rPr>
    </w:lvl>
    <w:lvl w:ilvl="1" w:tplc="04050003" w:tentative="1">
      <w:start w:val="1"/>
      <w:numFmt w:val="bullet"/>
      <w:lvlText w:val="o"/>
      <w:lvlJc w:val="left"/>
      <w:pPr>
        <w:ind w:left="2148" w:hanging="360"/>
      </w:pPr>
      <w:rPr>
        <w:rFonts w:ascii="Courier New" w:hAnsi="Courier New" w:cs="Courier New" w:hint="default"/>
      </w:rPr>
    </w:lvl>
    <w:lvl w:ilvl="2" w:tplc="04050005" w:tentative="1">
      <w:start w:val="1"/>
      <w:numFmt w:val="bullet"/>
      <w:lvlText w:val=""/>
      <w:lvlJc w:val="left"/>
      <w:pPr>
        <w:ind w:left="2868" w:hanging="360"/>
      </w:pPr>
      <w:rPr>
        <w:rFonts w:ascii="Wingdings" w:hAnsi="Wingdings" w:hint="default"/>
      </w:rPr>
    </w:lvl>
    <w:lvl w:ilvl="3" w:tplc="04050001" w:tentative="1">
      <w:start w:val="1"/>
      <w:numFmt w:val="bullet"/>
      <w:lvlText w:val=""/>
      <w:lvlJc w:val="left"/>
      <w:pPr>
        <w:ind w:left="3588" w:hanging="360"/>
      </w:pPr>
      <w:rPr>
        <w:rFonts w:ascii="Symbol" w:hAnsi="Symbol" w:hint="default"/>
      </w:rPr>
    </w:lvl>
    <w:lvl w:ilvl="4" w:tplc="04050003" w:tentative="1">
      <w:start w:val="1"/>
      <w:numFmt w:val="bullet"/>
      <w:lvlText w:val="o"/>
      <w:lvlJc w:val="left"/>
      <w:pPr>
        <w:ind w:left="4308" w:hanging="360"/>
      </w:pPr>
      <w:rPr>
        <w:rFonts w:ascii="Courier New" w:hAnsi="Courier New" w:cs="Courier New" w:hint="default"/>
      </w:rPr>
    </w:lvl>
    <w:lvl w:ilvl="5" w:tplc="04050005" w:tentative="1">
      <w:start w:val="1"/>
      <w:numFmt w:val="bullet"/>
      <w:lvlText w:val=""/>
      <w:lvlJc w:val="left"/>
      <w:pPr>
        <w:ind w:left="5028" w:hanging="360"/>
      </w:pPr>
      <w:rPr>
        <w:rFonts w:ascii="Wingdings" w:hAnsi="Wingdings" w:hint="default"/>
      </w:rPr>
    </w:lvl>
    <w:lvl w:ilvl="6" w:tplc="04050001" w:tentative="1">
      <w:start w:val="1"/>
      <w:numFmt w:val="bullet"/>
      <w:lvlText w:val=""/>
      <w:lvlJc w:val="left"/>
      <w:pPr>
        <w:ind w:left="5748" w:hanging="360"/>
      </w:pPr>
      <w:rPr>
        <w:rFonts w:ascii="Symbol" w:hAnsi="Symbol" w:hint="default"/>
      </w:rPr>
    </w:lvl>
    <w:lvl w:ilvl="7" w:tplc="04050003" w:tentative="1">
      <w:start w:val="1"/>
      <w:numFmt w:val="bullet"/>
      <w:lvlText w:val="o"/>
      <w:lvlJc w:val="left"/>
      <w:pPr>
        <w:ind w:left="6468" w:hanging="360"/>
      </w:pPr>
      <w:rPr>
        <w:rFonts w:ascii="Courier New" w:hAnsi="Courier New" w:cs="Courier New" w:hint="default"/>
      </w:rPr>
    </w:lvl>
    <w:lvl w:ilvl="8" w:tplc="04050005" w:tentative="1">
      <w:start w:val="1"/>
      <w:numFmt w:val="bullet"/>
      <w:lvlText w:val=""/>
      <w:lvlJc w:val="left"/>
      <w:pPr>
        <w:ind w:left="7188" w:hanging="360"/>
      </w:pPr>
      <w:rPr>
        <w:rFonts w:ascii="Wingdings" w:hAnsi="Wingdings" w:hint="default"/>
      </w:rPr>
    </w:lvl>
  </w:abstractNum>
  <w:abstractNum w:abstractNumId="23" w15:restartNumberingAfterBreak="0">
    <w:nsid w:val="4F4D75FE"/>
    <w:multiLevelType w:val="multilevel"/>
    <w:tmpl w:val="CCBCF4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61AE1FA2"/>
    <w:multiLevelType w:val="multilevel"/>
    <w:tmpl w:val="795C246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69D01310"/>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26" w15:restartNumberingAfterBreak="0">
    <w:nsid w:val="6B7002D5"/>
    <w:multiLevelType w:val="multilevel"/>
    <w:tmpl w:val="BBFAE78C"/>
    <w:lvl w:ilvl="0">
      <w:start w:val="1"/>
      <w:numFmt w:val="lowerLetter"/>
      <w:lvlText w:val="%1)"/>
      <w:lvlJc w:val="left"/>
      <w:pPr>
        <w:ind w:left="1211" w:hanging="360"/>
      </w:pPr>
      <w:rPr>
        <w:rFonts w:hint="default"/>
        <w:b w:val="0"/>
        <w:bCs w:val="0"/>
        <w:color w:val="auto"/>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27" w15:restartNumberingAfterBreak="0">
    <w:nsid w:val="70C15DC3"/>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28" w15:restartNumberingAfterBreak="0">
    <w:nsid w:val="7B8F69B0"/>
    <w:multiLevelType w:val="multilevel"/>
    <w:tmpl w:val="8176F9E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7C790D9D"/>
    <w:multiLevelType w:val="multilevel"/>
    <w:tmpl w:val="C3E01CFC"/>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92233674">
    <w:abstractNumId w:val="16"/>
  </w:num>
  <w:num w:numId="2" w16cid:durableId="1915161374">
    <w:abstractNumId w:val="14"/>
  </w:num>
  <w:num w:numId="3" w16cid:durableId="1790129206">
    <w:abstractNumId w:val="7"/>
  </w:num>
  <w:num w:numId="4" w16cid:durableId="1381897970">
    <w:abstractNumId w:val="22"/>
  </w:num>
  <w:num w:numId="5" w16cid:durableId="1925334634">
    <w:abstractNumId w:val="13"/>
  </w:num>
  <w:num w:numId="6" w16cid:durableId="124353530">
    <w:abstractNumId w:val="20"/>
  </w:num>
  <w:num w:numId="7" w16cid:durableId="240217676">
    <w:abstractNumId w:val="2"/>
  </w:num>
  <w:num w:numId="8" w16cid:durableId="2027824041">
    <w:abstractNumId w:val="25"/>
  </w:num>
  <w:num w:numId="9" w16cid:durableId="790054675">
    <w:abstractNumId w:val="10"/>
  </w:num>
  <w:num w:numId="10" w16cid:durableId="863132249">
    <w:abstractNumId w:val="18"/>
  </w:num>
  <w:num w:numId="11" w16cid:durableId="2145656837">
    <w:abstractNumId w:val="5"/>
  </w:num>
  <w:num w:numId="12" w16cid:durableId="678115967">
    <w:abstractNumId w:val="9"/>
  </w:num>
  <w:num w:numId="13" w16cid:durableId="257444813">
    <w:abstractNumId w:val="15"/>
  </w:num>
  <w:num w:numId="14" w16cid:durableId="1559124395">
    <w:abstractNumId w:val="27"/>
  </w:num>
  <w:num w:numId="15" w16cid:durableId="488135315">
    <w:abstractNumId w:val="4"/>
  </w:num>
  <w:num w:numId="16" w16cid:durableId="1956056202">
    <w:abstractNumId w:val="12"/>
  </w:num>
  <w:num w:numId="17" w16cid:durableId="1622571984">
    <w:abstractNumId w:val="11"/>
  </w:num>
  <w:num w:numId="18" w16cid:durableId="1499272555">
    <w:abstractNumId w:val="23"/>
  </w:num>
  <w:num w:numId="19" w16cid:durableId="718407127">
    <w:abstractNumId w:val="3"/>
  </w:num>
  <w:num w:numId="20" w16cid:durableId="713384173">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57674641">
    <w:abstractNumId w:val="29"/>
  </w:num>
  <w:num w:numId="22" w16cid:durableId="1061096256">
    <w:abstractNumId w:val="21"/>
  </w:num>
  <w:num w:numId="23" w16cid:durableId="776682791">
    <w:abstractNumId w:val="17"/>
  </w:num>
  <w:num w:numId="24" w16cid:durableId="932668190">
    <w:abstractNumId w:val="8"/>
  </w:num>
  <w:num w:numId="25" w16cid:durableId="1883250191">
    <w:abstractNumId w:val="28"/>
  </w:num>
  <w:num w:numId="26" w16cid:durableId="294725365">
    <w:abstractNumId w:val="1"/>
  </w:num>
  <w:num w:numId="27" w16cid:durableId="1724282576">
    <w:abstractNumId w:val="26"/>
  </w:num>
  <w:num w:numId="28" w16cid:durableId="369494929">
    <w:abstractNumId w:val="24"/>
    <w:lvlOverride w:ilvl="0">
      <w:lvl w:ilvl="0">
        <w:numFmt w:val="lowerLetter"/>
        <w:lvlText w:val="%1."/>
        <w:lvlJc w:val="left"/>
      </w:lvl>
    </w:lvlOverride>
  </w:num>
  <w:num w:numId="29" w16cid:durableId="228275029">
    <w:abstractNumId w:val="19"/>
  </w:num>
  <w:num w:numId="30" w16cid:durableId="1194805773">
    <w:abstractNumId w:val="6"/>
  </w:num>
  <w:num w:numId="31" w16cid:durableId="141867266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75345"/>
    <w:rsid w:val="0000624A"/>
    <w:rsid w:val="000069F1"/>
    <w:rsid w:val="000100B6"/>
    <w:rsid w:val="000140E8"/>
    <w:rsid w:val="00015084"/>
    <w:rsid w:val="0002185F"/>
    <w:rsid w:val="000247D2"/>
    <w:rsid w:val="00025274"/>
    <w:rsid w:val="00027971"/>
    <w:rsid w:val="00032D23"/>
    <w:rsid w:val="00034CDD"/>
    <w:rsid w:val="00035E58"/>
    <w:rsid w:val="00037E5C"/>
    <w:rsid w:val="0004060A"/>
    <w:rsid w:val="00040C1B"/>
    <w:rsid w:val="0004153A"/>
    <w:rsid w:val="000462ED"/>
    <w:rsid w:val="00053CB5"/>
    <w:rsid w:val="00053DC5"/>
    <w:rsid w:val="00061984"/>
    <w:rsid w:val="00063E6C"/>
    <w:rsid w:val="000717A3"/>
    <w:rsid w:val="000726D5"/>
    <w:rsid w:val="00073A71"/>
    <w:rsid w:val="00074CF9"/>
    <w:rsid w:val="00076DD2"/>
    <w:rsid w:val="00080487"/>
    <w:rsid w:val="00080FAB"/>
    <w:rsid w:val="000838EF"/>
    <w:rsid w:val="00085B98"/>
    <w:rsid w:val="00085C25"/>
    <w:rsid w:val="000904B2"/>
    <w:rsid w:val="00094F87"/>
    <w:rsid w:val="0009777A"/>
    <w:rsid w:val="00097A84"/>
    <w:rsid w:val="000A2355"/>
    <w:rsid w:val="000A6B81"/>
    <w:rsid w:val="000B0723"/>
    <w:rsid w:val="000B1823"/>
    <w:rsid w:val="000C1399"/>
    <w:rsid w:val="000C30B5"/>
    <w:rsid w:val="000C3C06"/>
    <w:rsid w:val="000C4151"/>
    <w:rsid w:val="000D0C94"/>
    <w:rsid w:val="000D77D6"/>
    <w:rsid w:val="000E2739"/>
    <w:rsid w:val="000E5931"/>
    <w:rsid w:val="000E5EA5"/>
    <w:rsid w:val="000E7964"/>
    <w:rsid w:val="000F0D8E"/>
    <w:rsid w:val="000F5EAD"/>
    <w:rsid w:val="000F6C51"/>
    <w:rsid w:val="000F7283"/>
    <w:rsid w:val="00106A16"/>
    <w:rsid w:val="0010755E"/>
    <w:rsid w:val="001109B5"/>
    <w:rsid w:val="00112A98"/>
    <w:rsid w:val="00116089"/>
    <w:rsid w:val="00117235"/>
    <w:rsid w:val="00123034"/>
    <w:rsid w:val="0012493A"/>
    <w:rsid w:val="00125188"/>
    <w:rsid w:val="0013017F"/>
    <w:rsid w:val="001330DA"/>
    <w:rsid w:val="001348F6"/>
    <w:rsid w:val="00134CD2"/>
    <w:rsid w:val="001402F6"/>
    <w:rsid w:val="00140B0C"/>
    <w:rsid w:val="00145D33"/>
    <w:rsid w:val="00150AB8"/>
    <w:rsid w:val="00154A49"/>
    <w:rsid w:val="00154B19"/>
    <w:rsid w:val="0016285F"/>
    <w:rsid w:val="00167E30"/>
    <w:rsid w:val="00171FFE"/>
    <w:rsid w:val="00174A25"/>
    <w:rsid w:val="001768BF"/>
    <w:rsid w:val="001873DB"/>
    <w:rsid w:val="00190E5A"/>
    <w:rsid w:val="00191012"/>
    <w:rsid w:val="00193141"/>
    <w:rsid w:val="001937FB"/>
    <w:rsid w:val="0019629F"/>
    <w:rsid w:val="001972CF"/>
    <w:rsid w:val="001A1E73"/>
    <w:rsid w:val="001A4EBF"/>
    <w:rsid w:val="001B0D09"/>
    <w:rsid w:val="001B1214"/>
    <w:rsid w:val="001B3F35"/>
    <w:rsid w:val="001B7AE5"/>
    <w:rsid w:val="001C4C69"/>
    <w:rsid w:val="001C4D88"/>
    <w:rsid w:val="001C6E3E"/>
    <w:rsid w:val="001C7166"/>
    <w:rsid w:val="001D5372"/>
    <w:rsid w:val="001D53D3"/>
    <w:rsid w:val="001E3033"/>
    <w:rsid w:val="001E399F"/>
    <w:rsid w:val="001E4CE6"/>
    <w:rsid w:val="001E4D87"/>
    <w:rsid w:val="001F1C13"/>
    <w:rsid w:val="00204491"/>
    <w:rsid w:val="002120FC"/>
    <w:rsid w:val="00212138"/>
    <w:rsid w:val="00216B90"/>
    <w:rsid w:val="00216ED6"/>
    <w:rsid w:val="002320C1"/>
    <w:rsid w:val="00232AA4"/>
    <w:rsid w:val="00243EA4"/>
    <w:rsid w:val="0024404C"/>
    <w:rsid w:val="00244736"/>
    <w:rsid w:val="002447FC"/>
    <w:rsid w:val="00245258"/>
    <w:rsid w:val="0024533C"/>
    <w:rsid w:val="00250701"/>
    <w:rsid w:val="002522DC"/>
    <w:rsid w:val="0025271A"/>
    <w:rsid w:val="00262979"/>
    <w:rsid w:val="00272E61"/>
    <w:rsid w:val="00277418"/>
    <w:rsid w:val="00283D4E"/>
    <w:rsid w:val="00291E52"/>
    <w:rsid w:val="00295513"/>
    <w:rsid w:val="002969DA"/>
    <w:rsid w:val="002A66CD"/>
    <w:rsid w:val="002B28C0"/>
    <w:rsid w:val="002B680C"/>
    <w:rsid w:val="002B6DE6"/>
    <w:rsid w:val="002C241D"/>
    <w:rsid w:val="002C6AF5"/>
    <w:rsid w:val="002C7BBC"/>
    <w:rsid w:val="002D2D8C"/>
    <w:rsid w:val="002D2F13"/>
    <w:rsid w:val="002D4968"/>
    <w:rsid w:val="002E22EB"/>
    <w:rsid w:val="002E24F2"/>
    <w:rsid w:val="002E5A67"/>
    <w:rsid w:val="002F6F14"/>
    <w:rsid w:val="002F7173"/>
    <w:rsid w:val="00300472"/>
    <w:rsid w:val="00302F28"/>
    <w:rsid w:val="00307F8E"/>
    <w:rsid w:val="0031004C"/>
    <w:rsid w:val="00313E7B"/>
    <w:rsid w:val="00314B6E"/>
    <w:rsid w:val="00321EA5"/>
    <w:rsid w:val="003258AF"/>
    <w:rsid w:val="00326984"/>
    <w:rsid w:val="00331DD3"/>
    <w:rsid w:val="00334780"/>
    <w:rsid w:val="003352C4"/>
    <w:rsid w:val="0033793F"/>
    <w:rsid w:val="0034304C"/>
    <w:rsid w:val="00345DEA"/>
    <w:rsid w:val="00355D4A"/>
    <w:rsid w:val="00360660"/>
    <w:rsid w:val="00362161"/>
    <w:rsid w:val="00373225"/>
    <w:rsid w:val="00374011"/>
    <w:rsid w:val="00375345"/>
    <w:rsid w:val="003767BD"/>
    <w:rsid w:val="003773CF"/>
    <w:rsid w:val="00377C48"/>
    <w:rsid w:val="003809B2"/>
    <w:rsid w:val="00380E4E"/>
    <w:rsid w:val="00391036"/>
    <w:rsid w:val="003913F1"/>
    <w:rsid w:val="00396F87"/>
    <w:rsid w:val="003A353B"/>
    <w:rsid w:val="003A41CC"/>
    <w:rsid w:val="003A47F7"/>
    <w:rsid w:val="003A55A6"/>
    <w:rsid w:val="003A5714"/>
    <w:rsid w:val="003A62D6"/>
    <w:rsid w:val="003B00B9"/>
    <w:rsid w:val="003B2237"/>
    <w:rsid w:val="003B3D99"/>
    <w:rsid w:val="003B792A"/>
    <w:rsid w:val="003C67C0"/>
    <w:rsid w:val="003E0F25"/>
    <w:rsid w:val="003E10EB"/>
    <w:rsid w:val="003E1C0A"/>
    <w:rsid w:val="003E7E1D"/>
    <w:rsid w:val="003F17FD"/>
    <w:rsid w:val="003F3F3B"/>
    <w:rsid w:val="003F7CA2"/>
    <w:rsid w:val="004015C4"/>
    <w:rsid w:val="0040385B"/>
    <w:rsid w:val="004047A1"/>
    <w:rsid w:val="00404D6A"/>
    <w:rsid w:val="00406D1B"/>
    <w:rsid w:val="00407335"/>
    <w:rsid w:val="00410564"/>
    <w:rsid w:val="00417E31"/>
    <w:rsid w:val="004240B6"/>
    <w:rsid w:val="00425C1C"/>
    <w:rsid w:val="00432482"/>
    <w:rsid w:val="0043427D"/>
    <w:rsid w:val="00436EBE"/>
    <w:rsid w:val="00450FC6"/>
    <w:rsid w:val="00452830"/>
    <w:rsid w:val="00456CBD"/>
    <w:rsid w:val="00456DE9"/>
    <w:rsid w:val="00460ADD"/>
    <w:rsid w:val="00471843"/>
    <w:rsid w:val="00475BF4"/>
    <w:rsid w:val="00476D40"/>
    <w:rsid w:val="00490349"/>
    <w:rsid w:val="004C00F0"/>
    <w:rsid w:val="004C7230"/>
    <w:rsid w:val="004D11C1"/>
    <w:rsid w:val="004D1B1B"/>
    <w:rsid w:val="004D4B2E"/>
    <w:rsid w:val="004E31DD"/>
    <w:rsid w:val="004E5D06"/>
    <w:rsid w:val="004E64EC"/>
    <w:rsid w:val="004E6C01"/>
    <w:rsid w:val="004E7831"/>
    <w:rsid w:val="005054AD"/>
    <w:rsid w:val="00511F99"/>
    <w:rsid w:val="005175E1"/>
    <w:rsid w:val="0052263D"/>
    <w:rsid w:val="0052575C"/>
    <w:rsid w:val="00525FE9"/>
    <w:rsid w:val="005271D9"/>
    <w:rsid w:val="005356A5"/>
    <w:rsid w:val="00535FB7"/>
    <w:rsid w:val="00537076"/>
    <w:rsid w:val="00541FC6"/>
    <w:rsid w:val="0054272A"/>
    <w:rsid w:val="0054579D"/>
    <w:rsid w:val="005469CB"/>
    <w:rsid w:val="005472CB"/>
    <w:rsid w:val="005526EE"/>
    <w:rsid w:val="00553514"/>
    <w:rsid w:val="00553F3C"/>
    <w:rsid w:val="00554BA7"/>
    <w:rsid w:val="0055615C"/>
    <w:rsid w:val="0056030E"/>
    <w:rsid w:val="00561684"/>
    <w:rsid w:val="00564BC8"/>
    <w:rsid w:val="0056553A"/>
    <w:rsid w:val="00567C9E"/>
    <w:rsid w:val="00573B45"/>
    <w:rsid w:val="00580284"/>
    <w:rsid w:val="005840B4"/>
    <w:rsid w:val="00584457"/>
    <w:rsid w:val="0058462C"/>
    <w:rsid w:val="005856FB"/>
    <w:rsid w:val="005859E4"/>
    <w:rsid w:val="005960A6"/>
    <w:rsid w:val="00597539"/>
    <w:rsid w:val="005A6AF1"/>
    <w:rsid w:val="005B09B5"/>
    <w:rsid w:val="005B39AF"/>
    <w:rsid w:val="005B3F09"/>
    <w:rsid w:val="005B7527"/>
    <w:rsid w:val="005C1335"/>
    <w:rsid w:val="005C160A"/>
    <w:rsid w:val="005C3C85"/>
    <w:rsid w:val="005C518D"/>
    <w:rsid w:val="005C7120"/>
    <w:rsid w:val="005C7FA5"/>
    <w:rsid w:val="005D01C7"/>
    <w:rsid w:val="005D1DAA"/>
    <w:rsid w:val="005D40E9"/>
    <w:rsid w:val="005D4A05"/>
    <w:rsid w:val="005E0930"/>
    <w:rsid w:val="005E2E99"/>
    <w:rsid w:val="005F34E1"/>
    <w:rsid w:val="005F3836"/>
    <w:rsid w:val="005F7031"/>
    <w:rsid w:val="00602871"/>
    <w:rsid w:val="00602A43"/>
    <w:rsid w:val="00604992"/>
    <w:rsid w:val="00605C05"/>
    <w:rsid w:val="00610E46"/>
    <w:rsid w:val="006123DE"/>
    <w:rsid w:val="006221B7"/>
    <w:rsid w:val="006252ED"/>
    <w:rsid w:val="00626457"/>
    <w:rsid w:val="006268C0"/>
    <w:rsid w:val="006311CC"/>
    <w:rsid w:val="00633265"/>
    <w:rsid w:val="00642725"/>
    <w:rsid w:val="00642865"/>
    <w:rsid w:val="006430B1"/>
    <w:rsid w:val="006472B1"/>
    <w:rsid w:val="0064737D"/>
    <w:rsid w:val="0065009F"/>
    <w:rsid w:val="006513F5"/>
    <w:rsid w:val="0065194C"/>
    <w:rsid w:val="00653008"/>
    <w:rsid w:val="00664196"/>
    <w:rsid w:val="00670AD9"/>
    <w:rsid w:val="00670DFB"/>
    <w:rsid w:val="0067108C"/>
    <w:rsid w:val="00672CB8"/>
    <w:rsid w:val="006736AB"/>
    <w:rsid w:val="0067634C"/>
    <w:rsid w:val="0068622E"/>
    <w:rsid w:val="00686410"/>
    <w:rsid w:val="006865F3"/>
    <w:rsid w:val="006A025D"/>
    <w:rsid w:val="006A27DD"/>
    <w:rsid w:val="006A3800"/>
    <w:rsid w:val="006A7C01"/>
    <w:rsid w:val="006B05FC"/>
    <w:rsid w:val="006B2B3D"/>
    <w:rsid w:val="006C6EC9"/>
    <w:rsid w:val="006C7339"/>
    <w:rsid w:val="006D214A"/>
    <w:rsid w:val="006D351E"/>
    <w:rsid w:val="006D6A22"/>
    <w:rsid w:val="006D785C"/>
    <w:rsid w:val="006D7C56"/>
    <w:rsid w:val="006E0949"/>
    <w:rsid w:val="006F13C3"/>
    <w:rsid w:val="006F3515"/>
    <w:rsid w:val="006F47AE"/>
    <w:rsid w:val="006F5916"/>
    <w:rsid w:val="006F5928"/>
    <w:rsid w:val="006F75EE"/>
    <w:rsid w:val="00712C83"/>
    <w:rsid w:val="007218A5"/>
    <w:rsid w:val="00722AB9"/>
    <w:rsid w:val="007273F0"/>
    <w:rsid w:val="007371A4"/>
    <w:rsid w:val="00740372"/>
    <w:rsid w:val="00745C9A"/>
    <w:rsid w:val="00746EAC"/>
    <w:rsid w:val="00747800"/>
    <w:rsid w:val="007533B7"/>
    <w:rsid w:val="00762422"/>
    <w:rsid w:val="007635F3"/>
    <w:rsid w:val="00764846"/>
    <w:rsid w:val="007736CE"/>
    <w:rsid w:val="007821F9"/>
    <w:rsid w:val="00782A4F"/>
    <w:rsid w:val="00786697"/>
    <w:rsid w:val="00795BA2"/>
    <w:rsid w:val="00796199"/>
    <w:rsid w:val="00797578"/>
    <w:rsid w:val="007A4E97"/>
    <w:rsid w:val="007B3E83"/>
    <w:rsid w:val="007C29AD"/>
    <w:rsid w:val="007C4E6D"/>
    <w:rsid w:val="007D0769"/>
    <w:rsid w:val="007D3716"/>
    <w:rsid w:val="007D4905"/>
    <w:rsid w:val="007D4AA2"/>
    <w:rsid w:val="007E1DEB"/>
    <w:rsid w:val="007E326D"/>
    <w:rsid w:val="007E46F8"/>
    <w:rsid w:val="007E4AB2"/>
    <w:rsid w:val="007E7019"/>
    <w:rsid w:val="007F0D26"/>
    <w:rsid w:val="007F3A25"/>
    <w:rsid w:val="007F5AE2"/>
    <w:rsid w:val="007F7EA9"/>
    <w:rsid w:val="008054AE"/>
    <w:rsid w:val="00805CBB"/>
    <w:rsid w:val="0080700F"/>
    <w:rsid w:val="00807E72"/>
    <w:rsid w:val="008126BC"/>
    <w:rsid w:val="00817486"/>
    <w:rsid w:val="0082024A"/>
    <w:rsid w:val="00820CB6"/>
    <w:rsid w:val="0082283C"/>
    <w:rsid w:val="00822E27"/>
    <w:rsid w:val="0082450B"/>
    <w:rsid w:val="0082606C"/>
    <w:rsid w:val="008261A7"/>
    <w:rsid w:val="008366E3"/>
    <w:rsid w:val="008409CB"/>
    <w:rsid w:val="008440ED"/>
    <w:rsid w:val="00844678"/>
    <w:rsid w:val="00845765"/>
    <w:rsid w:val="008457EB"/>
    <w:rsid w:val="00851E3C"/>
    <w:rsid w:val="00856BFE"/>
    <w:rsid w:val="00856CF3"/>
    <w:rsid w:val="00864148"/>
    <w:rsid w:val="008706D0"/>
    <w:rsid w:val="00870867"/>
    <w:rsid w:val="00877AB4"/>
    <w:rsid w:val="008811CF"/>
    <w:rsid w:val="0088126B"/>
    <w:rsid w:val="00886D09"/>
    <w:rsid w:val="00892880"/>
    <w:rsid w:val="00896291"/>
    <w:rsid w:val="0089629E"/>
    <w:rsid w:val="008A2EC4"/>
    <w:rsid w:val="008A305E"/>
    <w:rsid w:val="008B79E2"/>
    <w:rsid w:val="008C0614"/>
    <w:rsid w:val="008C09D4"/>
    <w:rsid w:val="008C4B3A"/>
    <w:rsid w:val="008C5185"/>
    <w:rsid w:val="008D1D0B"/>
    <w:rsid w:val="008D4738"/>
    <w:rsid w:val="008D7E80"/>
    <w:rsid w:val="008E0BA4"/>
    <w:rsid w:val="008E3543"/>
    <w:rsid w:val="008E55CF"/>
    <w:rsid w:val="008E6537"/>
    <w:rsid w:val="008E7BA2"/>
    <w:rsid w:val="008F1B2C"/>
    <w:rsid w:val="008F3F50"/>
    <w:rsid w:val="008F76CF"/>
    <w:rsid w:val="008F7D7C"/>
    <w:rsid w:val="009008D1"/>
    <w:rsid w:val="009028DE"/>
    <w:rsid w:val="0090337A"/>
    <w:rsid w:val="00906CD1"/>
    <w:rsid w:val="00910979"/>
    <w:rsid w:val="0091172B"/>
    <w:rsid w:val="00912575"/>
    <w:rsid w:val="00913E81"/>
    <w:rsid w:val="00914049"/>
    <w:rsid w:val="00917FD7"/>
    <w:rsid w:val="00922192"/>
    <w:rsid w:val="00924CB0"/>
    <w:rsid w:val="00926BB8"/>
    <w:rsid w:val="00934B51"/>
    <w:rsid w:val="009350BD"/>
    <w:rsid w:val="0093646D"/>
    <w:rsid w:val="00940615"/>
    <w:rsid w:val="009502BF"/>
    <w:rsid w:val="00950C75"/>
    <w:rsid w:val="00953F1E"/>
    <w:rsid w:val="00955396"/>
    <w:rsid w:val="009609AD"/>
    <w:rsid w:val="00960CBB"/>
    <w:rsid w:val="00961973"/>
    <w:rsid w:val="0096231D"/>
    <w:rsid w:val="00964062"/>
    <w:rsid w:val="00967035"/>
    <w:rsid w:val="0097450A"/>
    <w:rsid w:val="00976A38"/>
    <w:rsid w:val="00980417"/>
    <w:rsid w:val="00981DA2"/>
    <w:rsid w:val="009828ED"/>
    <w:rsid w:val="00986567"/>
    <w:rsid w:val="00986655"/>
    <w:rsid w:val="00991287"/>
    <w:rsid w:val="00993839"/>
    <w:rsid w:val="009A1518"/>
    <w:rsid w:val="009A53BC"/>
    <w:rsid w:val="009A5FC1"/>
    <w:rsid w:val="009A75CC"/>
    <w:rsid w:val="009B2B2A"/>
    <w:rsid w:val="009B4E90"/>
    <w:rsid w:val="009B7C0D"/>
    <w:rsid w:val="009C0210"/>
    <w:rsid w:val="009C0680"/>
    <w:rsid w:val="009C28B2"/>
    <w:rsid w:val="009C43E7"/>
    <w:rsid w:val="009C48AD"/>
    <w:rsid w:val="009C71A0"/>
    <w:rsid w:val="009D2A71"/>
    <w:rsid w:val="009D3410"/>
    <w:rsid w:val="009D5983"/>
    <w:rsid w:val="009F2798"/>
    <w:rsid w:val="009F776C"/>
    <w:rsid w:val="00A00F13"/>
    <w:rsid w:val="00A02431"/>
    <w:rsid w:val="00A028AF"/>
    <w:rsid w:val="00A02EE3"/>
    <w:rsid w:val="00A04ECB"/>
    <w:rsid w:val="00A0733D"/>
    <w:rsid w:val="00A10A8B"/>
    <w:rsid w:val="00A12C14"/>
    <w:rsid w:val="00A14AE1"/>
    <w:rsid w:val="00A14D6A"/>
    <w:rsid w:val="00A16138"/>
    <w:rsid w:val="00A16D48"/>
    <w:rsid w:val="00A171B9"/>
    <w:rsid w:val="00A21B2A"/>
    <w:rsid w:val="00A23EBF"/>
    <w:rsid w:val="00A30744"/>
    <w:rsid w:val="00A3165D"/>
    <w:rsid w:val="00A336B5"/>
    <w:rsid w:val="00A35148"/>
    <w:rsid w:val="00A37CA0"/>
    <w:rsid w:val="00A42AAE"/>
    <w:rsid w:val="00A4761D"/>
    <w:rsid w:val="00A5026B"/>
    <w:rsid w:val="00A51ED2"/>
    <w:rsid w:val="00A551C1"/>
    <w:rsid w:val="00A60D2E"/>
    <w:rsid w:val="00A76FB5"/>
    <w:rsid w:val="00A825F2"/>
    <w:rsid w:val="00A85DFD"/>
    <w:rsid w:val="00A87EA8"/>
    <w:rsid w:val="00A92884"/>
    <w:rsid w:val="00AA3440"/>
    <w:rsid w:val="00AB744D"/>
    <w:rsid w:val="00AC3B2A"/>
    <w:rsid w:val="00AC3E46"/>
    <w:rsid w:val="00AC405D"/>
    <w:rsid w:val="00AC5054"/>
    <w:rsid w:val="00AC51C7"/>
    <w:rsid w:val="00AC585A"/>
    <w:rsid w:val="00AC6EFE"/>
    <w:rsid w:val="00AD0584"/>
    <w:rsid w:val="00AD5618"/>
    <w:rsid w:val="00AE74F2"/>
    <w:rsid w:val="00AE7524"/>
    <w:rsid w:val="00AF5854"/>
    <w:rsid w:val="00AF59DE"/>
    <w:rsid w:val="00B029E7"/>
    <w:rsid w:val="00B03D3A"/>
    <w:rsid w:val="00B04B66"/>
    <w:rsid w:val="00B04B9D"/>
    <w:rsid w:val="00B04D9A"/>
    <w:rsid w:val="00B11794"/>
    <w:rsid w:val="00B13B98"/>
    <w:rsid w:val="00B147C0"/>
    <w:rsid w:val="00B17614"/>
    <w:rsid w:val="00B23D4D"/>
    <w:rsid w:val="00B264B9"/>
    <w:rsid w:val="00B3185A"/>
    <w:rsid w:val="00B31AF5"/>
    <w:rsid w:val="00B34A16"/>
    <w:rsid w:val="00B358E0"/>
    <w:rsid w:val="00B40B00"/>
    <w:rsid w:val="00B42B40"/>
    <w:rsid w:val="00B42F7B"/>
    <w:rsid w:val="00B44BA9"/>
    <w:rsid w:val="00B45522"/>
    <w:rsid w:val="00B47D43"/>
    <w:rsid w:val="00B510A7"/>
    <w:rsid w:val="00B5160E"/>
    <w:rsid w:val="00B523A2"/>
    <w:rsid w:val="00B5262A"/>
    <w:rsid w:val="00B645F9"/>
    <w:rsid w:val="00B666A1"/>
    <w:rsid w:val="00B67625"/>
    <w:rsid w:val="00B7044A"/>
    <w:rsid w:val="00B706D8"/>
    <w:rsid w:val="00B70821"/>
    <w:rsid w:val="00B71604"/>
    <w:rsid w:val="00B72F64"/>
    <w:rsid w:val="00B738B1"/>
    <w:rsid w:val="00B81460"/>
    <w:rsid w:val="00B85E3A"/>
    <w:rsid w:val="00B86BB9"/>
    <w:rsid w:val="00B904FC"/>
    <w:rsid w:val="00B94002"/>
    <w:rsid w:val="00B94C3F"/>
    <w:rsid w:val="00B97420"/>
    <w:rsid w:val="00BA33D6"/>
    <w:rsid w:val="00BA457E"/>
    <w:rsid w:val="00BA685C"/>
    <w:rsid w:val="00BB039F"/>
    <w:rsid w:val="00BB11DC"/>
    <w:rsid w:val="00BB7E9D"/>
    <w:rsid w:val="00BC092E"/>
    <w:rsid w:val="00BC2387"/>
    <w:rsid w:val="00BC268F"/>
    <w:rsid w:val="00BE0F09"/>
    <w:rsid w:val="00BE17DE"/>
    <w:rsid w:val="00BE568F"/>
    <w:rsid w:val="00BE6F67"/>
    <w:rsid w:val="00BE7E55"/>
    <w:rsid w:val="00BF64F3"/>
    <w:rsid w:val="00C10CAE"/>
    <w:rsid w:val="00C14294"/>
    <w:rsid w:val="00C15D48"/>
    <w:rsid w:val="00C17232"/>
    <w:rsid w:val="00C214D4"/>
    <w:rsid w:val="00C2259E"/>
    <w:rsid w:val="00C276DA"/>
    <w:rsid w:val="00C35A94"/>
    <w:rsid w:val="00C36864"/>
    <w:rsid w:val="00C506A9"/>
    <w:rsid w:val="00C5089E"/>
    <w:rsid w:val="00C5343D"/>
    <w:rsid w:val="00C550F7"/>
    <w:rsid w:val="00C55E88"/>
    <w:rsid w:val="00C6291E"/>
    <w:rsid w:val="00C64AB5"/>
    <w:rsid w:val="00C65091"/>
    <w:rsid w:val="00C65932"/>
    <w:rsid w:val="00C70B10"/>
    <w:rsid w:val="00C74320"/>
    <w:rsid w:val="00C82BDD"/>
    <w:rsid w:val="00C84DBC"/>
    <w:rsid w:val="00C85F61"/>
    <w:rsid w:val="00C86C61"/>
    <w:rsid w:val="00C90EB8"/>
    <w:rsid w:val="00C97863"/>
    <w:rsid w:val="00CA0483"/>
    <w:rsid w:val="00CA3D90"/>
    <w:rsid w:val="00CA6C0E"/>
    <w:rsid w:val="00CA6F7A"/>
    <w:rsid w:val="00CB4382"/>
    <w:rsid w:val="00CB49C7"/>
    <w:rsid w:val="00CB738F"/>
    <w:rsid w:val="00CC0E64"/>
    <w:rsid w:val="00CC1E90"/>
    <w:rsid w:val="00CC294A"/>
    <w:rsid w:val="00CC6148"/>
    <w:rsid w:val="00CD35AD"/>
    <w:rsid w:val="00CD43CD"/>
    <w:rsid w:val="00CD4CAD"/>
    <w:rsid w:val="00CE10FE"/>
    <w:rsid w:val="00CE75FD"/>
    <w:rsid w:val="00CF4DB8"/>
    <w:rsid w:val="00CF579C"/>
    <w:rsid w:val="00D00C8B"/>
    <w:rsid w:val="00D0115A"/>
    <w:rsid w:val="00D01F81"/>
    <w:rsid w:val="00D03A33"/>
    <w:rsid w:val="00D040E8"/>
    <w:rsid w:val="00D06953"/>
    <w:rsid w:val="00D06E79"/>
    <w:rsid w:val="00D11123"/>
    <w:rsid w:val="00D13C07"/>
    <w:rsid w:val="00D14285"/>
    <w:rsid w:val="00D14BED"/>
    <w:rsid w:val="00D20893"/>
    <w:rsid w:val="00D21BFA"/>
    <w:rsid w:val="00D24765"/>
    <w:rsid w:val="00D27F90"/>
    <w:rsid w:val="00D303E4"/>
    <w:rsid w:val="00D40042"/>
    <w:rsid w:val="00D441B7"/>
    <w:rsid w:val="00D44FAE"/>
    <w:rsid w:val="00D5109C"/>
    <w:rsid w:val="00D53149"/>
    <w:rsid w:val="00D53ABD"/>
    <w:rsid w:val="00D645D0"/>
    <w:rsid w:val="00D67242"/>
    <w:rsid w:val="00D67E8D"/>
    <w:rsid w:val="00D70505"/>
    <w:rsid w:val="00D70DE3"/>
    <w:rsid w:val="00D75274"/>
    <w:rsid w:val="00D77AA8"/>
    <w:rsid w:val="00D81E16"/>
    <w:rsid w:val="00D906EB"/>
    <w:rsid w:val="00D909A3"/>
    <w:rsid w:val="00DA328C"/>
    <w:rsid w:val="00DA361C"/>
    <w:rsid w:val="00DA6634"/>
    <w:rsid w:val="00DA6BA2"/>
    <w:rsid w:val="00DC59D6"/>
    <w:rsid w:val="00DC5D00"/>
    <w:rsid w:val="00DC6284"/>
    <w:rsid w:val="00DC67B1"/>
    <w:rsid w:val="00DD01CE"/>
    <w:rsid w:val="00DD3CB5"/>
    <w:rsid w:val="00DD4EA3"/>
    <w:rsid w:val="00DD726E"/>
    <w:rsid w:val="00DE3B8E"/>
    <w:rsid w:val="00DE61EB"/>
    <w:rsid w:val="00DE6566"/>
    <w:rsid w:val="00DE68AF"/>
    <w:rsid w:val="00DF61C9"/>
    <w:rsid w:val="00E01C4F"/>
    <w:rsid w:val="00E04352"/>
    <w:rsid w:val="00E103A4"/>
    <w:rsid w:val="00E149C6"/>
    <w:rsid w:val="00E167C7"/>
    <w:rsid w:val="00E17C37"/>
    <w:rsid w:val="00E216DA"/>
    <w:rsid w:val="00E23715"/>
    <w:rsid w:val="00E34D49"/>
    <w:rsid w:val="00E34E26"/>
    <w:rsid w:val="00E3684B"/>
    <w:rsid w:val="00E5042A"/>
    <w:rsid w:val="00E50578"/>
    <w:rsid w:val="00E537EB"/>
    <w:rsid w:val="00E55ACF"/>
    <w:rsid w:val="00E569BB"/>
    <w:rsid w:val="00E618C9"/>
    <w:rsid w:val="00E62FA2"/>
    <w:rsid w:val="00E66456"/>
    <w:rsid w:val="00E6669A"/>
    <w:rsid w:val="00E66718"/>
    <w:rsid w:val="00E66746"/>
    <w:rsid w:val="00E66B78"/>
    <w:rsid w:val="00E66EA8"/>
    <w:rsid w:val="00E701A1"/>
    <w:rsid w:val="00E775D3"/>
    <w:rsid w:val="00E847E6"/>
    <w:rsid w:val="00E848E0"/>
    <w:rsid w:val="00E858A9"/>
    <w:rsid w:val="00E86070"/>
    <w:rsid w:val="00EA0C50"/>
    <w:rsid w:val="00EA1BCE"/>
    <w:rsid w:val="00EA2881"/>
    <w:rsid w:val="00EA3EF7"/>
    <w:rsid w:val="00EA7405"/>
    <w:rsid w:val="00EA756C"/>
    <w:rsid w:val="00EB7380"/>
    <w:rsid w:val="00EC5770"/>
    <w:rsid w:val="00EC5896"/>
    <w:rsid w:val="00ED0015"/>
    <w:rsid w:val="00EE5DAB"/>
    <w:rsid w:val="00EF093A"/>
    <w:rsid w:val="00EF112F"/>
    <w:rsid w:val="00EF28DF"/>
    <w:rsid w:val="00EF2B71"/>
    <w:rsid w:val="00EF3024"/>
    <w:rsid w:val="00EF44F9"/>
    <w:rsid w:val="00F0236A"/>
    <w:rsid w:val="00F04065"/>
    <w:rsid w:val="00F114AA"/>
    <w:rsid w:val="00F170C0"/>
    <w:rsid w:val="00F17768"/>
    <w:rsid w:val="00F301DF"/>
    <w:rsid w:val="00F41273"/>
    <w:rsid w:val="00F51BED"/>
    <w:rsid w:val="00F53E30"/>
    <w:rsid w:val="00F544BE"/>
    <w:rsid w:val="00F55DBF"/>
    <w:rsid w:val="00F61B25"/>
    <w:rsid w:val="00F678C4"/>
    <w:rsid w:val="00F71996"/>
    <w:rsid w:val="00F73D7E"/>
    <w:rsid w:val="00F81F0E"/>
    <w:rsid w:val="00F826C3"/>
    <w:rsid w:val="00F8777B"/>
    <w:rsid w:val="00F92048"/>
    <w:rsid w:val="00F92F2B"/>
    <w:rsid w:val="00F947E3"/>
    <w:rsid w:val="00F94E19"/>
    <w:rsid w:val="00F96557"/>
    <w:rsid w:val="00F97AC0"/>
    <w:rsid w:val="00FA10B0"/>
    <w:rsid w:val="00FA23A9"/>
    <w:rsid w:val="00FA3452"/>
    <w:rsid w:val="00FB7257"/>
    <w:rsid w:val="00FC7169"/>
    <w:rsid w:val="00FC76B0"/>
    <w:rsid w:val="00FD1D92"/>
    <w:rsid w:val="00FD3418"/>
    <w:rsid w:val="00FE0147"/>
    <w:rsid w:val="00FF74ED"/>
    <w:rsid w:val="021339E8"/>
    <w:rsid w:val="05F5F2A7"/>
    <w:rsid w:val="07D5A08B"/>
    <w:rsid w:val="0C4B2BAE"/>
    <w:rsid w:val="11A96111"/>
    <w:rsid w:val="1A7627C4"/>
    <w:rsid w:val="259C3089"/>
    <w:rsid w:val="271A5723"/>
    <w:rsid w:val="2784BB3C"/>
    <w:rsid w:val="2D2D4C0A"/>
    <w:rsid w:val="2DE48D52"/>
    <w:rsid w:val="300FCC45"/>
    <w:rsid w:val="32F18A9D"/>
    <w:rsid w:val="3380B164"/>
    <w:rsid w:val="35B3317A"/>
    <w:rsid w:val="3D83E2E5"/>
    <w:rsid w:val="439EC95A"/>
    <w:rsid w:val="46D4A519"/>
    <w:rsid w:val="4C09D25C"/>
    <w:rsid w:val="505E9EA0"/>
    <w:rsid w:val="54050689"/>
    <w:rsid w:val="574927D9"/>
    <w:rsid w:val="5C013FDF"/>
    <w:rsid w:val="5FDA8E42"/>
    <w:rsid w:val="6438FCD1"/>
    <w:rsid w:val="69E1ED43"/>
    <w:rsid w:val="6B2FD650"/>
    <w:rsid w:val="6BF3E5DA"/>
    <w:rsid w:val="6E44C5C7"/>
    <w:rsid w:val="733E6A66"/>
    <w:rsid w:val="749D4484"/>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1642A85"/>
  <w15:chartTrackingRefBased/>
  <w15:docId w15:val="{E4B248EA-F1B1-46F1-86F7-0F1AFE7FB2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cs-CZ"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375345"/>
    <w:pPr>
      <w:spacing w:after="0" w:line="240" w:lineRule="auto"/>
    </w:pPr>
    <w:rPr>
      <w:rFonts w:ascii="Calibri" w:hAnsi="Calibri" w:cs="Calibri"/>
      <w:kern w:val="0"/>
    </w:rPr>
  </w:style>
  <w:style w:type="paragraph" w:styleId="Nadpis1">
    <w:name w:val="heading 1"/>
    <w:basedOn w:val="Normln"/>
    <w:next w:val="Normln"/>
    <w:link w:val="Nadpis1Char"/>
    <w:uiPriority w:val="9"/>
    <w:qFormat/>
    <w:rsid w:val="00955396"/>
    <w:pPr>
      <w:keepNext/>
      <w:keepLines/>
      <w:spacing w:before="240" w:line="259" w:lineRule="auto"/>
      <w:outlineLvl w:val="0"/>
    </w:pPr>
    <w:rPr>
      <w:rFonts w:ascii="Arial" w:eastAsiaTheme="majorEastAsia" w:hAnsi="Arial" w:cstheme="majorBidi"/>
      <w:color w:val="2E74B5" w:themeColor="accent1" w:themeShade="BF"/>
      <w:kern w:val="2"/>
      <w:sz w:val="32"/>
      <w:szCs w:val="32"/>
    </w:rPr>
  </w:style>
  <w:style w:type="paragraph" w:styleId="Nadpis2">
    <w:name w:val="heading 2"/>
    <w:basedOn w:val="Normln"/>
    <w:next w:val="Normln"/>
    <w:link w:val="Nadpis2Char"/>
    <w:uiPriority w:val="9"/>
    <w:semiHidden/>
    <w:unhideWhenUsed/>
    <w:qFormat/>
    <w:rsid w:val="00955396"/>
    <w:pPr>
      <w:keepNext/>
      <w:keepLines/>
      <w:spacing w:before="40" w:line="259" w:lineRule="auto"/>
      <w:outlineLvl w:val="1"/>
    </w:pPr>
    <w:rPr>
      <w:rFonts w:ascii="Arial" w:eastAsiaTheme="majorEastAsia" w:hAnsi="Arial" w:cstheme="majorBidi"/>
      <w:color w:val="2E74B5" w:themeColor="accent1" w:themeShade="BF"/>
      <w:kern w:val="2"/>
      <w:sz w:val="26"/>
      <w:szCs w:val="26"/>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uiPriority w:val="9"/>
    <w:rsid w:val="00955396"/>
    <w:rPr>
      <w:rFonts w:ascii="Arial" w:eastAsiaTheme="majorEastAsia" w:hAnsi="Arial" w:cstheme="majorBidi"/>
      <w:color w:val="2E74B5" w:themeColor="accent1" w:themeShade="BF"/>
      <w:sz w:val="32"/>
      <w:szCs w:val="32"/>
    </w:rPr>
  </w:style>
  <w:style w:type="character" w:customStyle="1" w:styleId="Nadpis2Char">
    <w:name w:val="Nadpis 2 Char"/>
    <w:basedOn w:val="Standardnpsmoodstavce"/>
    <w:link w:val="Nadpis2"/>
    <w:uiPriority w:val="9"/>
    <w:semiHidden/>
    <w:rsid w:val="00955396"/>
    <w:rPr>
      <w:rFonts w:ascii="Arial" w:eastAsiaTheme="majorEastAsia" w:hAnsi="Arial" w:cstheme="majorBidi"/>
      <w:color w:val="2E74B5" w:themeColor="accent1" w:themeShade="BF"/>
      <w:sz w:val="26"/>
      <w:szCs w:val="26"/>
    </w:rPr>
  </w:style>
  <w:style w:type="paragraph" w:styleId="Nzev">
    <w:name w:val="Title"/>
    <w:basedOn w:val="Normln"/>
    <w:next w:val="Normln"/>
    <w:link w:val="NzevChar"/>
    <w:uiPriority w:val="10"/>
    <w:qFormat/>
    <w:rsid w:val="00955396"/>
    <w:pPr>
      <w:contextualSpacing/>
    </w:pPr>
    <w:rPr>
      <w:rFonts w:ascii="Arial" w:eastAsiaTheme="majorEastAsia" w:hAnsi="Arial" w:cstheme="majorBidi"/>
      <w:spacing w:val="-10"/>
      <w:kern w:val="28"/>
      <w:sz w:val="56"/>
      <w:szCs w:val="56"/>
    </w:rPr>
  </w:style>
  <w:style w:type="character" w:customStyle="1" w:styleId="NzevChar">
    <w:name w:val="Název Char"/>
    <w:basedOn w:val="Standardnpsmoodstavce"/>
    <w:link w:val="Nzev"/>
    <w:uiPriority w:val="10"/>
    <w:rsid w:val="00955396"/>
    <w:rPr>
      <w:rFonts w:ascii="Arial" w:eastAsiaTheme="majorEastAsia" w:hAnsi="Arial" w:cstheme="majorBidi"/>
      <w:spacing w:val="-10"/>
      <w:kern w:val="28"/>
      <w:sz w:val="56"/>
      <w:szCs w:val="56"/>
    </w:rPr>
  </w:style>
  <w:style w:type="paragraph" w:styleId="Podnadpis">
    <w:name w:val="Subtitle"/>
    <w:basedOn w:val="Normln"/>
    <w:next w:val="Normln"/>
    <w:link w:val="PodnadpisChar"/>
    <w:uiPriority w:val="11"/>
    <w:qFormat/>
    <w:rsid w:val="00955396"/>
    <w:pPr>
      <w:numPr>
        <w:ilvl w:val="1"/>
      </w:numPr>
      <w:spacing w:after="160" w:line="259" w:lineRule="auto"/>
    </w:pPr>
    <w:rPr>
      <w:rFonts w:ascii="Arial" w:eastAsiaTheme="minorEastAsia" w:hAnsi="Arial" w:cstheme="minorBidi"/>
      <w:color w:val="5A5A5A" w:themeColor="text1" w:themeTint="A5"/>
      <w:spacing w:val="15"/>
      <w:kern w:val="2"/>
    </w:rPr>
  </w:style>
  <w:style w:type="character" w:customStyle="1" w:styleId="PodnadpisChar">
    <w:name w:val="Podnadpis Char"/>
    <w:basedOn w:val="Standardnpsmoodstavce"/>
    <w:link w:val="Podnadpis"/>
    <w:uiPriority w:val="11"/>
    <w:rsid w:val="00955396"/>
    <w:rPr>
      <w:rFonts w:ascii="Arial" w:eastAsiaTheme="minorEastAsia" w:hAnsi="Arial"/>
      <w:color w:val="5A5A5A" w:themeColor="text1" w:themeTint="A5"/>
      <w:spacing w:val="15"/>
    </w:rPr>
  </w:style>
  <w:style w:type="paragraph" w:styleId="Bezmezer">
    <w:name w:val="No Spacing"/>
    <w:uiPriority w:val="1"/>
    <w:qFormat/>
    <w:rsid w:val="00955396"/>
    <w:pPr>
      <w:spacing w:after="0" w:line="240" w:lineRule="auto"/>
    </w:pPr>
    <w:rPr>
      <w:rFonts w:ascii="Arial" w:hAnsi="Arial"/>
      <w:sz w:val="20"/>
    </w:rPr>
  </w:style>
  <w:style w:type="character" w:styleId="Odkaznakoment">
    <w:name w:val="annotation reference"/>
    <w:basedOn w:val="Standardnpsmoodstavce"/>
    <w:uiPriority w:val="99"/>
    <w:semiHidden/>
    <w:unhideWhenUsed/>
    <w:rsid w:val="000F5EAD"/>
    <w:rPr>
      <w:sz w:val="16"/>
      <w:szCs w:val="16"/>
    </w:rPr>
  </w:style>
  <w:style w:type="paragraph" w:styleId="Textkomente">
    <w:name w:val="annotation text"/>
    <w:basedOn w:val="Normln"/>
    <w:link w:val="TextkomenteChar"/>
    <w:uiPriority w:val="99"/>
    <w:unhideWhenUsed/>
    <w:rsid w:val="000F5EAD"/>
    <w:rPr>
      <w:sz w:val="20"/>
      <w:szCs w:val="20"/>
    </w:rPr>
  </w:style>
  <w:style w:type="character" w:customStyle="1" w:styleId="TextkomenteChar">
    <w:name w:val="Text komentáře Char"/>
    <w:basedOn w:val="Standardnpsmoodstavce"/>
    <w:link w:val="Textkomente"/>
    <w:uiPriority w:val="99"/>
    <w:rsid w:val="000F5EAD"/>
    <w:rPr>
      <w:rFonts w:ascii="Calibri" w:hAnsi="Calibri" w:cs="Calibri"/>
      <w:kern w:val="0"/>
      <w:sz w:val="20"/>
      <w:szCs w:val="20"/>
    </w:rPr>
  </w:style>
  <w:style w:type="paragraph" w:styleId="Pedmtkomente">
    <w:name w:val="annotation subject"/>
    <w:basedOn w:val="Textkomente"/>
    <w:next w:val="Textkomente"/>
    <w:link w:val="PedmtkomenteChar"/>
    <w:uiPriority w:val="99"/>
    <w:semiHidden/>
    <w:unhideWhenUsed/>
    <w:rsid w:val="000F5EAD"/>
    <w:rPr>
      <w:b/>
      <w:bCs/>
    </w:rPr>
  </w:style>
  <w:style w:type="character" w:customStyle="1" w:styleId="PedmtkomenteChar">
    <w:name w:val="Předmět komentáře Char"/>
    <w:basedOn w:val="TextkomenteChar"/>
    <w:link w:val="Pedmtkomente"/>
    <w:uiPriority w:val="99"/>
    <w:semiHidden/>
    <w:rsid w:val="000F5EAD"/>
    <w:rPr>
      <w:rFonts w:ascii="Calibri" w:hAnsi="Calibri" w:cs="Calibri"/>
      <w:b/>
      <w:bCs/>
      <w:kern w:val="0"/>
      <w:sz w:val="20"/>
      <w:szCs w:val="20"/>
    </w:rPr>
  </w:style>
  <w:style w:type="paragraph" w:styleId="Revize">
    <w:name w:val="Revision"/>
    <w:hidden/>
    <w:uiPriority w:val="99"/>
    <w:semiHidden/>
    <w:rsid w:val="008F3F50"/>
    <w:pPr>
      <w:spacing w:after="0" w:line="240" w:lineRule="auto"/>
    </w:pPr>
    <w:rPr>
      <w:rFonts w:ascii="Calibri" w:hAnsi="Calibri" w:cs="Calibri"/>
      <w:kern w:val="0"/>
    </w:rPr>
  </w:style>
  <w:style w:type="paragraph" w:styleId="Odstavecseseznamem">
    <w:name w:val="List Paragraph"/>
    <w:basedOn w:val="Normln"/>
    <w:uiPriority w:val="34"/>
    <w:qFormat/>
    <w:rsid w:val="00AF59DE"/>
    <w:pPr>
      <w:ind w:left="720"/>
      <w:contextualSpacing/>
    </w:pPr>
  </w:style>
  <w:style w:type="character" w:styleId="PromnnHTML">
    <w:name w:val="HTML Variable"/>
    <w:basedOn w:val="Standardnpsmoodstavce"/>
    <w:uiPriority w:val="99"/>
    <w:semiHidden/>
    <w:unhideWhenUsed/>
    <w:rsid w:val="00807E72"/>
    <w:rPr>
      <w:i/>
      <w:iCs/>
    </w:rPr>
  </w:style>
  <w:style w:type="character" w:styleId="Hypertextovodkaz">
    <w:name w:val="Hyperlink"/>
    <w:basedOn w:val="Standardnpsmoodstavce"/>
    <w:uiPriority w:val="99"/>
    <w:unhideWhenUsed/>
    <w:rsid w:val="00DD3CB5"/>
    <w:rPr>
      <w:color w:val="0563C1" w:themeColor="hyperlink"/>
      <w:u w:val="single"/>
    </w:rPr>
  </w:style>
  <w:style w:type="character" w:styleId="Nevyeenzmnka">
    <w:name w:val="Unresolved Mention"/>
    <w:basedOn w:val="Standardnpsmoodstavce"/>
    <w:uiPriority w:val="99"/>
    <w:semiHidden/>
    <w:unhideWhenUsed/>
    <w:rsid w:val="00DD3CB5"/>
    <w:rPr>
      <w:color w:val="605E5C"/>
      <w:shd w:val="clear" w:color="auto" w:fill="E1DFDD"/>
    </w:rPr>
  </w:style>
  <w:style w:type="character" w:customStyle="1" w:styleId="cf01">
    <w:name w:val="cf01"/>
    <w:basedOn w:val="Standardnpsmoodstavce"/>
    <w:rsid w:val="00A60D2E"/>
    <w:rPr>
      <w:rFonts w:ascii="Segoe UI" w:hAnsi="Segoe UI" w:cs="Segoe UI" w:hint="default"/>
      <w:sz w:val="18"/>
      <w:szCs w:val="18"/>
    </w:rPr>
  </w:style>
  <w:style w:type="paragraph" w:styleId="Zkladntext">
    <w:name w:val="Body Text"/>
    <w:basedOn w:val="Normln"/>
    <w:link w:val="ZkladntextChar"/>
    <w:uiPriority w:val="99"/>
    <w:unhideWhenUsed/>
    <w:rsid w:val="005840B4"/>
    <w:pPr>
      <w:spacing w:after="160" w:line="278" w:lineRule="auto"/>
    </w:pPr>
    <w:rPr>
      <w:rFonts w:ascii="Arial" w:hAnsi="Arial" w:cs="Arial"/>
      <w:kern w:val="2"/>
      <w:sz w:val="20"/>
      <w:szCs w:val="20"/>
    </w:rPr>
  </w:style>
  <w:style w:type="character" w:customStyle="1" w:styleId="ZkladntextChar">
    <w:name w:val="Základní text Char"/>
    <w:basedOn w:val="Standardnpsmoodstavce"/>
    <w:link w:val="Zkladntext"/>
    <w:uiPriority w:val="99"/>
    <w:rsid w:val="005840B4"/>
    <w:rPr>
      <w:rFonts w:ascii="Arial" w:hAnsi="Arial" w:cs="Arial"/>
      <w:sz w:val="20"/>
      <w:szCs w:val="20"/>
    </w:rPr>
  </w:style>
  <w:style w:type="paragraph" w:styleId="Titulek">
    <w:name w:val="caption"/>
    <w:basedOn w:val="Normln"/>
    <w:next w:val="Normln"/>
    <w:uiPriority w:val="35"/>
    <w:unhideWhenUsed/>
    <w:qFormat/>
    <w:rsid w:val="00BC2387"/>
    <w:pPr>
      <w:spacing w:after="200"/>
    </w:pPr>
    <w:rPr>
      <w:i/>
      <w:iCs/>
      <w:color w:val="44546A" w:themeColor="text2"/>
      <w:sz w:val="18"/>
      <w:szCs w:val="18"/>
    </w:rPr>
  </w:style>
  <w:style w:type="paragraph" w:customStyle="1" w:styleId="paragraph">
    <w:name w:val="paragraph"/>
    <w:basedOn w:val="Normln"/>
    <w:rsid w:val="00A02EE3"/>
    <w:pPr>
      <w:spacing w:before="100" w:beforeAutospacing="1" w:after="100" w:afterAutospacing="1"/>
    </w:pPr>
    <w:rPr>
      <w:rFonts w:ascii="Times New Roman" w:eastAsia="Times New Roman" w:hAnsi="Times New Roman" w:cs="Times New Roman"/>
      <w:sz w:val="24"/>
      <w:szCs w:val="24"/>
      <w:lang w:eastAsia="cs-CZ"/>
      <w14:ligatures w14:val="none"/>
    </w:rPr>
  </w:style>
  <w:style w:type="character" w:customStyle="1" w:styleId="normaltextrun">
    <w:name w:val="normaltextrun"/>
    <w:basedOn w:val="Standardnpsmoodstavce"/>
    <w:rsid w:val="00A02EE3"/>
  </w:style>
  <w:style w:type="character" w:customStyle="1" w:styleId="eop">
    <w:name w:val="eop"/>
    <w:basedOn w:val="Standardnpsmoodstavce"/>
    <w:rsid w:val="00A02EE3"/>
  </w:style>
  <w:style w:type="paragraph" w:styleId="Normlnweb">
    <w:name w:val="Normal (Web)"/>
    <w:basedOn w:val="Normln"/>
    <w:uiPriority w:val="99"/>
    <w:semiHidden/>
    <w:unhideWhenUsed/>
    <w:rsid w:val="00AC3B2A"/>
    <w:pPr>
      <w:spacing w:before="100" w:beforeAutospacing="1" w:after="100" w:afterAutospacing="1"/>
    </w:pPr>
    <w:rPr>
      <w:rFonts w:ascii="Times New Roman" w:eastAsia="Times New Roman" w:hAnsi="Times New Roman" w:cs="Times New Roman"/>
      <w:sz w:val="24"/>
      <w:szCs w:val="24"/>
      <w:lang w:eastAsia="cs-CZ"/>
      <w14:ligatures w14:val="none"/>
    </w:rPr>
  </w:style>
  <w:style w:type="paragraph" w:styleId="Zhlav">
    <w:name w:val="header"/>
    <w:basedOn w:val="Normln"/>
    <w:link w:val="ZhlavChar"/>
    <w:uiPriority w:val="99"/>
    <w:unhideWhenUsed/>
    <w:rsid w:val="006D7C56"/>
    <w:pPr>
      <w:tabs>
        <w:tab w:val="center" w:pos="4536"/>
        <w:tab w:val="right" w:pos="9072"/>
      </w:tabs>
    </w:pPr>
  </w:style>
  <w:style w:type="character" w:customStyle="1" w:styleId="ZhlavChar">
    <w:name w:val="Záhlaví Char"/>
    <w:basedOn w:val="Standardnpsmoodstavce"/>
    <w:link w:val="Zhlav"/>
    <w:uiPriority w:val="99"/>
    <w:rsid w:val="006D7C56"/>
    <w:rPr>
      <w:rFonts w:ascii="Calibri" w:hAnsi="Calibri" w:cs="Calibri"/>
      <w:kern w:val="0"/>
    </w:rPr>
  </w:style>
  <w:style w:type="paragraph" w:styleId="Zpat">
    <w:name w:val="footer"/>
    <w:basedOn w:val="Normln"/>
    <w:link w:val="ZpatChar"/>
    <w:uiPriority w:val="99"/>
    <w:unhideWhenUsed/>
    <w:rsid w:val="006D7C56"/>
    <w:pPr>
      <w:tabs>
        <w:tab w:val="center" w:pos="4536"/>
        <w:tab w:val="right" w:pos="9072"/>
      </w:tabs>
    </w:pPr>
  </w:style>
  <w:style w:type="character" w:customStyle="1" w:styleId="ZpatChar">
    <w:name w:val="Zápatí Char"/>
    <w:basedOn w:val="Standardnpsmoodstavce"/>
    <w:link w:val="Zpat"/>
    <w:uiPriority w:val="99"/>
    <w:rsid w:val="006D7C56"/>
    <w:rPr>
      <w:rFonts w:ascii="Calibri" w:hAnsi="Calibri" w:cs="Calibri"/>
      <w:kern w:val="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679730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hyperlink" Target="https://www.plasy.cz/e_download.php?file=data/editor/193cs_9.pdf&amp;original=01.1%20sirsi%20vztahy.pdf" TargetMode="External"/></Relationship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EA1CD0-0434-4964-9684-C5D8159A17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TotalTime>
  <Pages>7</Pages>
  <Words>3764</Words>
  <Characters>22210</Characters>
  <Application>Microsoft Office Word</Application>
  <DocSecurity>0</DocSecurity>
  <Lines>185</Lines>
  <Paragraphs>51</Paragraphs>
  <ScaleCrop>false</ScaleCrop>
  <HeadingPairs>
    <vt:vector size="2" baseType="variant">
      <vt:variant>
        <vt:lpstr>Název</vt:lpstr>
      </vt:variant>
      <vt:variant>
        <vt:i4>1</vt:i4>
      </vt:variant>
    </vt:vector>
  </HeadingPairs>
  <TitlesOfParts>
    <vt:vector size="1" baseType="lpstr">
      <vt:lpstr>Vzorové územní opatření k OZE</vt:lpstr>
    </vt:vector>
  </TitlesOfParts>
  <Company>Ministerstvo pro místní rozvoj</Company>
  <LinksUpToDate>false</LinksUpToDate>
  <CharactersWithSpaces>25923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Vzorové územní opatření k OZE</dc:title>
  <dc:subject/>
  <dc:creator>Josef.Morkus@mmr.gov.cz;Karel.Wirth@mmr.gov.cz;Ales.Macha@mmr.gov.cz</dc:creator>
  <cp:keywords/>
  <dc:description/>
  <cp:lastModifiedBy>Anna Romanchuk</cp:lastModifiedBy>
  <cp:revision>71</cp:revision>
  <cp:lastPrinted>2026-04-02T14:35:00Z</cp:lastPrinted>
  <dcterms:created xsi:type="dcterms:W3CDTF">2026-03-03T21:30:00Z</dcterms:created>
  <dcterms:modified xsi:type="dcterms:W3CDTF">2026-07-17T10:21:00Z</dcterms:modified>
</cp:coreProperties>
</file>