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CD" w:rsidRPr="00BD33A0" w:rsidRDefault="00BD33A0" w:rsidP="00BD33A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339b06b7-73c9-4861-9440-0803b8fcc169_0" style="width:568.55pt;height:393.3pt">
            <v:imagedata r:id="rId9" o:title=""/>
          </v:shape>
        </w:pict>
      </w:r>
      <w:bookmarkEnd w:id="0"/>
    </w:p>
    <w:p w:rsidR="00C6433F" w:rsidRPr="00CC3CF4" w:rsidRDefault="005B5F00" w:rsidP="0061156F">
      <w:pPr>
        <w:pStyle w:val="Point123"/>
        <w:numPr>
          <w:ilvl w:val="0"/>
          <w:numId w:val="1"/>
        </w:numPr>
        <w:rPr>
          <w:rFonts w:asciiTheme="majorBidi" w:hAnsiTheme="majorBidi" w:cstheme="majorBidi"/>
        </w:rPr>
      </w:pPr>
      <w:r w:rsidRPr="00CC3CF4">
        <w:t>Delegace naleznou v příloze závěry Rady o cílech a prioritách Evropské unie a jejích členských států pro 3. konferenci OSN o bydlení a udržitelném rozvoji měst, ve znění přijatém Radou na jejím 3462. zasedání konaném dne 12. května 2016.</w:t>
      </w:r>
    </w:p>
    <w:p w:rsidR="006215F1" w:rsidRPr="00CC3CF4" w:rsidRDefault="006215F1" w:rsidP="006215F1">
      <w:pPr>
        <w:pStyle w:val="FinalLine"/>
      </w:pPr>
    </w:p>
    <w:p w:rsidR="006215F1" w:rsidRPr="00CC3CF4" w:rsidRDefault="006215F1" w:rsidP="006215F1">
      <w:pPr>
        <w:sectPr w:rsidR="006215F1" w:rsidRPr="00CC3CF4" w:rsidSect="0061156F">
          <w:footerReference w:type="default" r:id="rId10"/>
          <w:footerReference w:type="first" r:id="rId11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6215F1" w:rsidRPr="00CC3CF4" w:rsidRDefault="006215F1" w:rsidP="006215F1">
      <w:pPr>
        <w:pStyle w:val="Annex"/>
      </w:pPr>
      <w:r w:rsidRPr="00CC3CF4">
        <w:lastRenderedPageBreak/>
        <w:t>PŘÍLOHA</w:t>
      </w:r>
    </w:p>
    <w:p w:rsidR="00DC107A" w:rsidRPr="00CC3CF4" w:rsidRDefault="00DC107A" w:rsidP="00DC107A">
      <w:pPr>
        <w:pStyle w:val="HoofdtekstA"/>
        <w:spacing w:after="24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b/>
          <w:bCs/>
          <w:sz w:val="24"/>
          <w:szCs w:val="24"/>
        </w:rPr>
        <w:t>Závěry Rady</w:t>
      </w:r>
    </w:p>
    <w:p w:rsidR="00DC107A" w:rsidRPr="00CC3CF4" w:rsidRDefault="00DC107A" w:rsidP="00DC107A">
      <w:pPr>
        <w:pStyle w:val="HoofdtekstA"/>
        <w:spacing w:after="24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b/>
          <w:bCs/>
          <w:sz w:val="24"/>
          <w:szCs w:val="24"/>
        </w:rPr>
        <w:t>Konference Habitat III: Cíle a priority Evropské unie a jejích členských států</w:t>
      </w:r>
    </w:p>
    <w:p w:rsidR="00DC107A" w:rsidRPr="00CC3CF4" w:rsidRDefault="00DC107A" w:rsidP="00DC107A">
      <w:pPr>
        <w:pStyle w:val="HoofdtekstA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b/>
          <w:bCs/>
          <w:sz w:val="24"/>
          <w:szCs w:val="24"/>
        </w:rPr>
        <w:t>pro 3. konferenci OSN o bydlení a udržitelném rozvoji měst</w:t>
      </w:r>
    </w:p>
    <w:p w:rsidR="00DC107A" w:rsidRPr="00CC3CF4" w:rsidRDefault="00DC107A" w:rsidP="00DC107A">
      <w:pPr>
        <w:pStyle w:val="HoofdtekstA"/>
        <w:spacing w:after="24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1.</w:t>
      </w:r>
      <w:r w:rsidRPr="00CC3CF4">
        <w:rPr>
          <w:rFonts w:ascii="Times New Roman" w:hAnsi="Times New Roman"/>
          <w:sz w:val="24"/>
          <w:szCs w:val="24"/>
        </w:rPr>
        <w:tab/>
        <w:t>V těchto závěrech jsou uvedeny klíčové cíle a priority Evropské unie a jejích členských států pro 3. konferenci OSN o bydlení a udržitelném rozvoji měst (Habitat III, Quito 17.–20. října), na níž bude stanovena celosvětová nová městská agenda.</w:t>
      </w:r>
    </w:p>
    <w:p w:rsidR="00DC107A" w:rsidRPr="00CC3CF4" w:rsidRDefault="00DC107A" w:rsidP="00DC107A">
      <w:pPr>
        <w:pStyle w:val="HoofdtekstA"/>
        <w:spacing w:after="24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b/>
          <w:bCs/>
          <w:sz w:val="24"/>
          <w:szCs w:val="24"/>
        </w:rPr>
        <w:t>Hlavní zásady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2.</w:t>
      </w:r>
      <w:r w:rsidRPr="00CC3CF4">
        <w:rPr>
          <w:rFonts w:ascii="Times New Roman" w:hAnsi="Times New Roman"/>
          <w:sz w:val="24"/>
          <w:szCs w:val="24"/>
        </w:rPr>
        <w:tab/>
        <w:t>Konference Habitat III a výsledná nová městská agenda by měly být jedním ze základů pro provádění nových mnohostranných rámců dohodnutých v roce 2015: Agendy pro udržitelný rozvoj 2030, akčního programu z Addis Abeby, Pařížské dohody o změně klimatu a sendajského rámce pro snižování rizika katastrof. Při naplňování Agendy pro udržitelný rozvoj 2030 bude hrát klíčovou úlohu udržitelný rozvoj měst a konference Habitat III by měla být významným podnětem zejména z hlediska cíle udržitelného rozvoje č. 11 – „vytvořit inkluzivní, bezpečná, odolná a udržitelná města a obce“ – jakož i z hlediska dalších příslušných cílů Agendy pro udržitelný rozvoj 2030.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3.</w:t>
      </w:r>
      <w:r w:rsidRPr="00CC3CF4">
        <w:rPr>
          <w:rFonts w:ascii="Times New Roman" w:hAnsi="Times New Roman"/>
          <w:sz w:val="24"/>
          <w:szCs w:val="24"/>
        </w:rPr>
        <w:tab/>
        <w:t>Konference Habitat III by měla usilovat o dosažení cílů stanovených v rezoluci Valného shromáždění OSN A/RES/67/216, a to „zajistit obnovený politický závazek v oblasti udržitelného rozvoje měst [...] a řešit chudobu, určit nové a nově se objevující výzvy a čelit jim“. Výsledný dokument („nová městská agenda“) by měl být „stručný, zacílený a zaměřený na budoucnost a konkrétní opatření“ a měl by obsahovat konkrétní návrhy řešení problémů vyplývajících z urbanizace a demografie měst a proměnit je v příležitosti, které přispějí k udržitelnému rozvoji v hospodářské, sociální i environmentální oblasti.</w:t>
      </w:r>
    </w:p>
    <w:p w:rsidR="00DC107A" w:rsidRPr="00CC3CF4" w:rsidRDefault="00207547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CC3CF4">
        <w:br w:type="page"/>
      </w:r>
      <w:r w:rsidRPr="00CC3CF4">
        <w:rPr>
          <w:rFonts w:ascii="Times New Roman" w:hAnsi="Times New Roman"/>
          <w:sz w:val="24"/>
          <w:szCs w:val="24"/>
        </w:rPr>
        <w:lastRenderedPageBreak/>
        <w:t>4.</w:t>
      </w:r>
      <w:r w:rsidRPr="00CC3CF4">
        <w:rPr>
          <w:rFonts w:ascii="Times New Roman" w:hAnsi="Times New Roman"/>
          <w:sz w:val="24"/>
          <w:szCs w:val="24"/>
        </w:rPr>
        <w:tab/>
        <w:t>Nová městská agenda by měla být všeobecná a transformační, neboť by měla být plně v souladu se zásadami Agendy pro udržitelný rozvoj 2030. Bude základem obnoveného globálního rámce pro rozvoj měst. Měla by zároveň vycházet z přístupu založeného na právech, zahrnujícího všechna lidská práva. Je tedy důležité, aby členské státy, místní orgány a zainteresované strany prováděly tento program na celosvětové, vnitrostátní, regionální a místní úrovni integrovaným způsobem za podpory systému OSN, včetně regionál</w:t>
      </w:r>
      <w:r w:rsidR="00DF76D0">
        <w:rPr>
          <w:rFonts w:ascii="Times New Roman" w:hAnsi="Times New Roman"/>
          <w:sz w:val="24"/>
          <w:szCs w:val="24"/>
        </w:rPr>
        <w:t>ních hospodářských komisí OSN a </w:t>
      </w:r>
      <w:bookmarkStart w:id="2" w:name="_GoBack"/>
      <w:bookmarkEnd w:id="2"/>
      <w:r w:rsidRPr="00CC3CF4">
        <w:rPr>
          <w:rFonts w:ascii="Times New Roman" w:hAnsi="Times New Roman"/>
          <w:sz w:val="24"/>
          <w:szCs w:val="24"/>
        </w:rPr>
        <w:t>konference OSN Habitat.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5.</w:t>
      </w:r>
      <w:r w:rsidRPr="00CC3CF4">
        <w:rPr>
          <w:rFonts w:ascii="Times New Roman" w:hAnsi="Times New Roman"/>
          <w:b/>
          <w:bCs/>
          <w:sz w:val="24"/>
          <w:szCs w:val="24"/>
        </w:rPr>
        <w:tab/>
      </w:r>
      <w:r w:rsidRPr="00CC3CF4">
        <w:rPr>
          <w:rFonts w:ascii="Times New Roman" w:hAnsi="Times New Roman"/>
          <w:sz w:val="24"/>
          <w:szCs w:val="24"/>
        </w:rPr>
        <w:t>Tato nová agenda by měla zúročit nejen zkušenosti z předchozích konferencí Habitat, ale rovněž navrhnout reakce a řešení pro vývoj situace a výzvy z období po konferenci Habitat II: bezprecedentní rychlý růst městských oblastí, ale rovněž i vylidňování měst v jiných oblastech; koncentrace ekonomické činnosti v městských oblastech; dopady změny klimatu; větší tlak na zdraví lidí, přírodní zdroje a biologickou rozmanitost; nedostatek udržitelného bydlení a budov; geografická a sociální nerovnost a způsoby vyloučení; stále ne</w:t>
      </w:r>
      <w:r w:rsidR="00BD33A0">
        <w:rPr>
          <w:rFonts w:ascii="Times New Roman" w:hAnsi="Times New Roman"/>
          <w:sz w:val="24"/>
          <w:szCs w:val="24"/>
        </w:rPr>
        <w:t>jistější bezpečnostní situace a </w:t>
      </w:r>
      <w:r w:rsidRPr="00CC3CF4">
        <w:rPr>
          <w:rFonts w:ascii="Times New Roman" w:hAnsi="Times New Roman"/>
          <w:sz w:val="24"/>
          <w:szCs w:val="24"/>
        </w:rPr>
        <w:t>nárůst násilí; zhoršování životního prostředí; nedostatečné potravinové zabezpečení; specifické potřeby vysídlených osob a migrantů.</w:t>
      </w:r>
    </w:p>
    <w:p w:rsidR="00DC107A" w:rsidRPr="00CC3CF4" w:rsidRDefault="00DC107A" w:rsidP="00170EF7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6.</w:t>
      </w:r>
      <w:r w:rsidRPr="00CC3CF4">
        <w:rPr>
          <w:rFonts w:ascii="Times New Roman" w:hAnsi="Times New Roman"/>
          <w:sz w:val="24"/>
          <w:szCs w:val="24"/>
        </w:rPr>
        <w:tab/>
        <w:t>Konstatujeme, že podkladem pro cíle a priority EU a jejích člensk</w:t>
      </w:r>
      <w:r w:rsidR="00BD33A0">
        <w:rPr>
          <w:rFonts w:ascii="Times New Roman" w:hAnsi="Times New Roman"/>
          <w:sz w:val="24"/>
          <w:szCs w:val="24"/>
        </w:rPr>
        <w:t>ých států na konferenci Habitat </w:t>
      </w:r>
      <w:r w:rsidRPr="00CC3CF4">
        <w:rPr>
          <w:rFonts w:ascii="Times New Roman" w:hAnsi="Times New Roman"/>
          <w:sz w:val="24"/>
          <w:szCs w:val="24"/>
        </w:rPr>
        <w:t>III mohou být i další procesy, zejména připravovaná městská agenda pro EU. Domníváme se, že evropská městská agenda by se mohla stát klíčovým nástrojem pro realizaci nové městské agendy.</w:t>
      </w:r>
    </w:p>
    <w:p w:rsidR="00DC107A" w:rsidRPr="00CC3CF4" w:rsidRDefault="00DC107A" w:rsidP="00626A0E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Vítáme diskusní dokument Evropské komise s názvem „Příprava společného postoje EU a jejích členských států“, který jakožto pracovní dokument zohledňuje cíle EU a jejích členských států pro novou městskou agendu, vychází ze společného závazku dosáhnout celkového cíle udržitelného rozvoje měst a současně bere v potaz zásady subsidiarity.</w:t>
      </w:r>
    </w:p>
    <w:p w:rsidR="00DC107A" w:rsidRPr="00CC3CF4" w:rsidRDefault="00207547" w:rsidP="00DC107A">
      <w:pPr>
        <w:pStyle w:val="HoofdtekstA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CF4">
        <w:br w:type="page"/>
      </w:r>
      <w:r w:rsidRPr="00CC3CF4">
        <w:rPr>
          <w:rFonts w:ascii="Times New Roman" w:hAnsi="Times New Roman"/>
          <w:b/>
          <w:bCs/>
          <w:sz w:val="24"/>
          <w:szCs w:val="24"/>
        </w:rPr>
        <w:lastRenderedPageBreak/>
        <w:t>Cíle: Čtyři oblasti činností v rámci nové městské agendy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7.</w:t>
      </w:r>
      <w:r w:rsidRPr="00CC3CF4">
        <w:rPr>
          <w:rFonts w:ascii="Times New Roman" w:hAnsi="Times New Roman"/>
          <w:b/>
          <w:bCs/>
          <w:sz w:val="24"/>
          <w:szCs w:val="24"/>
        </w:rPr>
        <w:tab/>
      </w:r>
      <w:r w:rsidRPr="00CC3CF4">
        <w:rPr>
          <w:rFonts w:ascii="Times New Roman" w:hAnsi="Times New Roman"/>
          <w:sz w:val="24"/>
          <w:szCs w:val="24"/>
        </w:rPr>
        <w:t>EU a její členské státy se domnívají, že pro podporu dobře spravovaných, sociálně inkluzivních, bezpečných, odolných a hospodářsky prosperujících měst všech velikostí přívětivých pro život, účinně využívajících zdroje a udržitelných z hlediska životního prostředí je nezbytný holistický, integrovaný a místně podmíněný přístup k rozvoji měst spolu s dlouhodobou vizí a rozvoj kapacit k jejich realizaci. EU a její členské státy připomínají, že tento přístup musí zohledňovat různorodost měst a jejich širší územní kontext a podporovat vazby mezi městy a venkovem v součinnosti s politikou rozvoje venkova a zemědělskou politikou s cílem posílit územní soudržnost. Udržitelný rozvoj měst je proto zásadním přínosem i z hlediska vymýcení chudoby na celém světě. Součástí tohoto přístupu je dále i uznání ústřední role kultury, ochrany a propagace kulturního a přírodního dědictví</w:t>
      </w:r>
      <w:r w:rsidR="001A307D" w:rsidRPr="00CC3CF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C3CF4">
        <w:rPr>
          <w:rFonts w:ascii="Times New Roman" w:hAnsi="Times New Roman"/>
          <w:sz w:val="24"/>
          <w:szCs w:val="24"/>
        </w:rPr>
        <w:t>, jakož i dostupnost veřejného prostoru, která je základním předpokladem pro to, aby se všichni zapojili do dosahování těchto cílů a cítili se za ně odpovědní.</w:t>
      </w:r>
    </w:p>
    <w:p w:rsidR="00DC107A" w:rsidRPr="00CC3CF4" w:rsidRDefault="00DC107A" w:rsidP="0099370C">
      <w:pPr>
        <w:pStyle w:val="HoofdtekstA"/>
        <w:spacing w:after="12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V tomto ohledu by základem nové městské agendy měla být:</w:t>
      </w:r>
    </w:p>
    <w:p w:rsidR="00DC107A" w:rsidRPr="00CC3CF4" w:rsidRDefault="00DC107A" w:rsidP="00462B10">
      <w:pPr>
        <w:pStyle w:val="HoofdtekstA"/>
        <w:spacing w:after="24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i)</w:t>
      </w:r>
      <w:r w:rsidRPr="00CC3CF4">
        <w:rPr>
          <w:rFonts w:ascii="Times New Roman" w:hAnsi="Times New Roman"/>
          <w:sz w:val="24"/>
          <w:szCs w:val="24"/>
        </w:rPr>
        <w:tab/>
        <w:t>Podpora inkluzivních a bezpečných měst: Vybízíme k řešení městské chudoby a vyloučení s přihlédnutím k jejich územnímu rozměru, a to tím, že budou určeny a řešeny hlavní příčiny a důsledky nerovností, městské chudoby a konfliktů prostřednictvím regulace trhů práce, přístupu k zaměstnání, vzdělávání a dovednostem, inkluzivního a participativního rozhodovacího procesu a plánování, rovného přístupu k cenově dostupnému a odpovídajícímu bydlení, ochrany a podpory zabezpečení držby, jakož i zajištění ochrany proti nucenému vystěhovávání, individuálního blahobytu a podpory občanské angažovanosti, potravinového zabezpečení a transparentního a účinného poskytování základních služeb, včetně vody, hygienických zařízení, energetiky, udržitelné mobility a veřejné zeleně, a těmto hlavním příčinám a důsledkům se bude předcházet. Nová městská agenda by měla řešit specifické potřeby marginalizovaných a ohrožených osob a skupin, včetně osob se zdravotním postižením, vysídlených osob a migrantů. Jejím cílem by mělo být i potírání všech forem diskriminace žen a zvláštní pozornost by měla být věnována rovnosti žen a mužů a posílení postavení žen, a to i v oblasti plánování a rozvoje měst, za účelem využití potenciálu žen jakožto aktérek změn.</w:t>
      </w:r>
    </w:p>
    <w:p w:rsidR="00DC107A" w:rsidRPr="00CC3CF4" w:rsidRDefault="0099370C" w:rsidP="0099370C">
      <w:pPr>
        <w:pStyle w:val="HoofdtekstA"/>
        <w:spacing w:after="24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br w:type="page"/>
        <w:t>ii)</w:t>
      </w:r>
      <w:r w:rsidRPr="00CC3CF4">
        <w:rPr>
          <w:rFonts w:ascii="Times New Roman" w:hAnsi="Times New Roman"/>
          <w:sz w:val="24"/>
          <w:szCs w:val="24"/>
        </w:rPr>
        <w:tab/>
        <w:t>Podpora zelených a odolných měst: Vybízíme k tomu, aby udržitelnost životního prostředí byla uznána jako základní předpoklad pro zajištění prosperity a dobrých životních podmínek všech obyvatel v mezích možností naší planety prostřednictvím udržitelného využívání přírodních zdrojů, včetně orné půdy, a podpory systémového přechodu ke společnosti neutrální z hlediska uhlíku a zdrojů. Města by se proto měla zaměřit na účinné využívání zdrojů, mimo jiné prostřednictvím účinného hospodaření s půdou, integrovaného územního plánování, upřednostnění obnovy měst, nástrojů projektování a řízení zajišťujících nízké emise uhlíku, s cílem zamezit dalšímu územnímu rozšiřování měst a posílit zásadu víceúčelového využívání prostoru a zároveň by měla posilovat a rozvíjet profesionální projekční kapacity. Rovněž zdůrazňujeme význam udržitelných modelů výroby a spotřeby, potřebu zlepšit kvalitu ovzduší, podporovat cenově dostupnou, udržitelnou a přístupnou nízkouhlíkovou dopravu a mobilitu, mimo jiné prostřednictvím inteligentní a veřejné dopravy, a rozvoj zeleného soukromého sektoru a udržitelné podnikání na všech úrovních a zajistit řádné nakládání s odpady, minimalizovat nebezpečné chemické látky, jakož i podporovat místní řešení v oblasti energie z obnovitelných zdrojů a oběhové hospodářství. Naší prioritou je přizpůsobování se změně klimatu a její zmírňování s cílem podpořit odolnost měst vůči povodním, vlnám veder, nedostatku vody, suchu a přírodním rizikům. Vybízíme k tomu, aby byly spolu s preventivní infrastrukturou a integrovaným územním a prostorovým plánováním využívány zelené a modré infrastruktury jakožto řešení založená na přírodních procesech s cílem zajistit ekosystémové služby, jež zlepšují lidské zdr</w:t>
      </w:r>
      <w:r w:rsidR="00BD33A0">
        <w:rPr>
          <w:rFonts w:ascii="Times New Roman" w:hAnsi="Times New Roman"/>
          <w:sz w:val="24"/>
          <w:szCs w:val="24"/>
        </w:rPr>
        <w:t>aví a </w:t>
      </w:r>
      <w:r w:rsidRPr="00CC3CF4">
        <w:rPr>
          <w:rFonts w:ascii="Times New Roman" w:hAnsi="Times New Roman"/>
          <w:sz w:val="24"/>
          <w:szCs w:val="24"/>
        </w:rPr>
        <w:t>prospívají biologické rozmanitosti a zároveň předcházejí katastrofám souvisejícím se změnou klimatu a snižují spotřebu energie. Pobřeží a říční delty, kde dochází k urbanizaci, v tomto ohledu čelí vzhledem ke kombinaci socioekonomických a environmentálních faktorů mimořádným a specifickým tlakům.</w:t>
      </w:r>
    </w:p>
    <w:p w:rsidR="00DC107A" w:rsidRPr="00CC3CF4" w:rsidRDefault="00207547" w:rsidP="0099370C">
      <w:pPr>
        <w:pStyle w:val="HoofdtekstA"/>
        <w:spacing w:after="24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br w:type="page"/>
      </w:r>
      <w:r w:rsidRPr="00CC3CF4">
        <w:rPr>
          <w:rFonts w:ascii="Times New Roman" w:hAnsi="Times New Roman"/>
          <w:sz w:val="24"/>
          <w:szCs w:val="24"/>
        </w:rPr>
        <w:t>iii)</w:t>
      </w:r>
      <w:r w:rsidRPr="00CC3CF4">
        <w:rPr>
          <w:rFonts w:ascii="Times New Roman" w:hAnsi="Times New Roman"/>
          <w:sz w:val="24"/>
          <w:szCs w:val="24"/>
        </w:rPr>
        <w:tab/>
        <w:t>Podpora prosperujících a inovativních měst: Vybízíme k tomu, aby byl zvýšen vnitřní potenciál měst poskytovat kvalitní prostředí pro život všech, včetně mladých lidí, a to podporou místního hospodářského rozvoje, podněcováním inovací, včetně sociálních inovací, a prosazováním růstu podporujícího začlenění a důstojné práce pro všechny, a aby byl současně brán ohled na životní prostředí a byla posilována rovnost a sociální integrace. Naplňování tohoto cíle vyžaduje odpovědné podnikatelské prostředí příznivé pro přilákání investic, přístup k řadě inteligentních řešení v oblasti informačních a komunikačních technologií a k čistým technologiím v souladu s koncep</w:t>
      </w:r>
      <w:r w:rsidR="00BD33A0">
        <w:rPr>
          <w:rFonts w:ascii="Times New Roman" w:hAnsi="Times New Roman"/>
          <w:sz w:val="24"/>
          <w:szCs w:val="24"/>
        </w:rPr>
        <w:t>cí inteligentních měst, jakož i </w:t>
      </w:r>
      <w:r w:rsidRPr="00CC3CF4">
        <w:rPr>
          <w:rFonts w:ascii="Times New Roman" w:hAnsi="Times New Roman"/>
          <w:sz w:val="24"/>
          <w:szCs w:val="24"/>
        </w:rPr>
        <w:t>transparentní a předvídatelné politiky a právní předpisy. Nezbytný je rovněž přístup k infrastrukturním zařízením, a to zejména podnikatelským střediskům, jakož i ke vzdělávacím a výzkumným zařízením a trhům. Vybízíme k formalizaci neformální ekonomiky. Posilování růstu ve všech socioekonomických oblastech by mělo probíhat současně s realizací opatření zaměřených na zvýšení odolnosti měst a lepšímu zajištění přechodu k oběhové a zelené ekonomice, snižovat potravinové ztráty a podporovat udržitelný „metabolismus“ měst s cílem zmírnit nerovnosti v rámci měst a rozvíjet partnerství mezi městem a venkovem.</w:t>
      </w:r>
    </w:p>
    <w:p w:rsidR="00DC107A" w:rsidRPr="00CC3CF4" w:rsidRDefault="00DC107A" w:rsidP="0099370C">
      <w:pPr>
        <w:pStyle w:val="HoofdtekstA"/>
        <w:spacing w:after="24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iv)</w:t>
      </w:r>
      <w:r w:rsidRPr="00CC3CF4">
        <w:rPr>
          <w:rFonts w:ascii="Times New Roman" w:hAnsi="Times New Roman"/>
          <w:sz w:val="24"/>
          <w:szCs w:val="24"/>
        </w:rPr>
        <w:tab/>
        <w:t>Podpora řádné správy měst: Vybízíme k tomu, aby byly rozvíjeny a posilovány legitimní, účinné, pružně reagující, odpovědné a transparentní orgány místní a státní správy, které uplatňují inkluzivní, fakticky podložené a participativní rozhodovací procesy, jež podporují přístupy za účasti více aktérů. Naplňování tohoto cíle vyžaduje, aby v souladu se zásadou subsidiarity existovaly na celostátní úrovni rámce pro politiku v oblasti zákonodárství a pro politiku decentralizace, jež budou založeny na právech. Tyto politické rámce by měly zajišťovat jasné rozdělení pravomocí a kompetencí a měly by místním orgánům umožňovat účinné provádění celostátních politik a současně je zapojovat jako samostatné tvůrce politik, aby mohly plnit svou úlohu klíčových aktérů v rámci udržitelného městského rozvoje. Za tímto účelem musejí být místní orgány, a to zejména prostřednictvím sdružení místních samospráv, která je zastupují, a občané zapojováni a konzultováni ve všech fázích politického cyklu, počínaje plánováním až po provádění v rámci řádně koncipovaného systému víceúrovňové správy, a přispívat tak k prohlubování demokracie. Vybízíme rovněž k tomu, aby byla města plánována a spravována na území přesahujícím jejich administrativní hranice a aby při tom byly brány v potaz funkční městské oblasti a byly využívány vazby mezi městy a venkovem.</w:t>
      </w:r>
    </w:p>
    <w:p w:rsidR="00DC107A" w:rsidRPr="00CC3CF4" w:rsidRDefault="00207547" w:rsidP="000E3938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br w:type="page"/>
      </w:r>
      <w:r w:rsidRPr="00CC3CF4">
        <w:rPr>
          <w:rFonts w:ascii="Times New Roman" w:hAnsi="Times New Roman"/>
          <w:sz w:val="24"/>
          <w:szCs w:val="24"/>
        </w:rPr>
        <w:t>Místní orgány ve spolupráci s organizacemi občanské společnosti mají lepší předpoklady k tomu, aby zvládaly řešení problematiky zranitelnosti vůči škále přírodních a člověkem způsobených rizik a otřesů a přechod k udržitelným městům.</w:t>
      </w:r>
    </w:p>
    <w:p w:rsidR="00DC107A" w:rsidRPr="00CC3CF4" w:rsidRDefault="00DC107A" w:rsidP="000E3938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CC3CF4">
        <w:rPr>
          <w:rFonts w:ascii="Times New Roman" w:hAnsi="Times New Roman"/>
          <w:sz w:val="24"/>
          <w:szCs w:val="24"/>
        </w:rPr>
        <w:t>Řádná správa měst vyžaduje zdravé obecní finance. Naplňování tohoto cíle může ve vhodných případech zahrnovat finanční decentralizaci u nižší než celostátní úrovně, čímž se místním orgánům usnadní přístup k finančním zdrojům, včetně posílení příjmů z vlastních zdrojů. Je nutno posílit účinné a transparentní řízení rozpočtu a zadávání zakázek, jakož i schopnosti místních orgánů účinněji mobilizovat různé zdroje financování.</w:t>
      </w:r>
    </w:p>
    <w:p w:rsidR="00DC107A" w:rsidRPr="00CC3CF4" w:rsidRDefault="00DC107A" w:rsidP="000E3938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Vybízíme k tomu, aby bylo podporováno budování kapacit, a to i prostřednictvím získávání, vyhodnocování, šíření a výměny znalostí. Za tímto účelem vzájemná spolupráce, a to zejména spolupráce mezi městy, přispívá k přínosným dlouhodobým partnerstvím, která mohou usnadňovat společnou činnost. V tomto ohledu podporujeme vytváření a využívání jednoduchých nástrojů referenčního srovnávání a monitorování, které místním činitelům s rozhodovací pravomocí pomohou identifikovat nákladově efektivní řešení.</w:t>
      </w:r>
    </w:p>
    <w:p w:rsidR="00DC107A" w:rsidRPr="00CC3CF4" w:rsidRDefault="00DC107A" w:rsidP="00DC107A">
      <w:pPr>
        <w:pStyle w:val="HoofdtekstA"/>
        <w:spacing w:after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F4">
        <w:rPr>
          <w:rFonts w:ascii="Times New Roman" w:hAnsi="Times New Roman"/>
          <w:b/>
          <w:bCs/>
          <w:sz w:val="24"/>
          <w:szCs w:val="24"/>
        </w:rPr>
        <w:t>Provádění nové městské agendy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CC3CF4">
        <w:rPr>
          <w:rFonts w:ascii="Times New Roman" w:hAnsi="Times New Roman"/>
          <w:sz w:val="24"/>
          <w:szCs w:val="24"/>
        </w:rPr>
        <w:t>8.</w:t>
      </w:r>
      <w:r w:rsidRPr="00CC3CF4">
        <w:rPr>
          <w:rFonts w:ascii="Times New Roman" w:hAnsi="Times New Roman"/>
          <w:b/>
          <w:bCs/>
          <w:sz w:val="24"/>
          <w:szCs w:val="24"/>
        </w:rPr>
        <w:tab/>
      </w:r>
      <w:r w:rsidRPr="00CC3CF4">
        <w:rPr>
          <w:rFonts w:ascii="Times New Roman" w:hAnsi="Times New Roman"/>
          <w:sz w:val="24"/>
          <w:szCs w:val="24"/>
        </w:rPr>
        <w:t>Nová městská agenda bude muset zahrnovat soudržný, účinný a inkluzivní mechanismus následné kontroly a přezkumu, což přispěje k vytvoření systému následné kontroly a přezkumu, jenž má být dohodnut pro účely Agendy pro udržitelný rozvoj 2030. Provádění nové městské agendy bude vyhodnocováno, monitorováno a přezkoumáváno na základě relevantního souboru ukazatelů pro hodnocení plnění cílů udržitelného rozvoje. Uznáváme, že tento rámec by měl být flexibilní a mělo by být možné jej měnit a upravovat na</w:t>
      </w:r>
      <w:r w:rsidR="00BD33A0">
        <w:rPr>
          <w:rFonts w:ascii="Times New Roman" w:hAnsi="Times New Roman"/>
          <w:sz w:val="24"/>
          <w:szCs w:val="24"/>
        </w:rPr>
        <w:t xml:space="preserve"> základě metodických zlepšení a </w:t>
      </w:r>
      <w:r w:rsidRPr="00CC3CF4">
        <w:rPr>
          <w:rFonts w:ascii="Times New Roman" w:hAnsi="Times New Roman"/>
          <w:sz w:val="24"/>
          <w:szCs w:val="24"/>
        </w:rPr>
        <w:t>dostupnosti údajů.</w:t>
      </w:r>
    </w:p>
    <w:p w:rsidR="00DC107A" w:rsidRPr="00CC3CF4" w:rsidRDefault="00DC107A" w:rsidP="00BD33A0">
      <w:pPr>
        <w:pStyle w:val="HoofdtekstA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Proces následné kontroly a přezkumu nové městské agendy by měl vycházet ze stávajících platforem a procesů, pokud existují, a měl by zamezovat zdvojování činností. V souladu se zásadami stanovenými v Agendě pro udržitelný rozvoj 2030 bude nezbytné, aby se v souladu se zásadami subsidiarity, proporcionality a víceúrovňové správy na uvedeném procesu úzce podílely a byly do něj zapojeny všechny zainteresované strany, zejména místní orgány. Proces přispěje k provádění Agendy pro udržitelný rozvoj 2030 tím, že bude podporovat tematické přezkumy pokroku při plnění cílů udržitelného rozvoje prováděné v rámci fóra na vysoké úrovni, a k naplňování sendajského rámce a zamýšlených vnitrostátně stanovených příspěvků, jež byly přislíbeny.</w:t>
      </w:r>
    </w:p>
    <w:p w:rsidR="00DC107A" w:rsidRPr="00CC3CF4" w:rsidRDefault="00207547" w:rsidP="00903CF7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br w:type="page"/>
      </w:r>
      <w:r w:rsidRPr="00CC3CF4">
        <w:rPr>
          <w:rFonts w:ascii="Times New Roman" w:hAnsi="Times New Roman"/>
          <w:sz w:val="24"/>
          <w:szCs w:val="24"/>
        </w:rPr>
        <w:t>EU a její členské státy mají za to, že shromažďování údajů i ukazatele jsou na celostátní a místní úrovni nezbytné pro monitorování dosaženého pokroku a pro rozhodování o úpravách způsobu provádění. Výsledné údaje by měly být transparentní, volně přístupné a vhodně rozčleněné, tak aby zachycovaly stávající nerovnosti a úsilí o podporu inkluzivního rozvoje. V zájmu podpory řádné správy měst vybízíme navíc k tomu, aby byly tyto ukazatele na místní úrovni náležitým způsobem přizpůsobeny.</w:t>
      </w:r>
    </w:p>
    <w:p w:rsidR="00DC107A" w:rsidRPr="00CC3CF4" w:rsidRDefault="00DC107A" w:rsidP="0099370C">
      <w:pPr>
        <w:pStyle w:val="HoofdtekstA"/>
        <w:spacing w:after="24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9.</w:t>
      </w:r>
      <w:r w:rsidRPr="00CC3CF4">
        <w:rPr>
          <w:rFonts w:ascii="Times New Roman" w:hAnsi="Times New Roman"/>
          <w:sz w:val="24"/>
          <w:szCs w:val="24"/>
        </w:rPr>
        <w:tab/>
        <w:t>EU a její členské státy uznávají, že provádění komplexní nové městské agendy je zapotřebí na všech úrovních podporovat pomocí všech prostředků provádění.</w:t>
      </w:r>
    </w:p>
    <w:p w:rsidR="00DC107A" w:rsidRPr="00CC3CF4" w:rsidRDefault="00DC107A" w:rsidP="00903CF7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Podobně jako provádění Agendy pro udržitelný rozvoj 2030 bude i agendu stanovenou na konferenci Habitat III nutné provádět prostřednictvím k</w:t>
      </w:r>
      <w:r w:rsidR="00BD33A0">
        <w:rPr>
          <w:rFonts w:ascii="Times New Roman" w:hAnsi="Times New Roman"/>
          <w:sz w:val="24"/>
          <w:szCs w:val="24"/>
        </w:rPr>
        <w:t>ombinace opatření: podpůrného a </w:t>
      </w:r>
      <w:r w:rsidRPr="00CC3CF4">
        <w:rPr>
          <w:rFonts w:ascii="Times New Roman" w:hAnsi="Times New Roman"/>
          <w:sz w:val="24"/>
          <w:szCs w:val="24"/>
        </w:rPr>
        <w:t>motivujícího politického prostředí; rozvíjení kapacit pro</w:t>
      </w:r>
      <w:r w:rsidR="00BD33A0">
        <w:rPr>
          <w:rFonts w:ascii="Times New Roman" w:hAnsi="Times New Roman"/>
          <w:sz w:val="24"/>
          <w:szCs w:val="24"/>
        </w:rPr>
        <w:t xml:space="preserve"> provádění agendy; mobilizace a </w:t>
      </w:r>
      <w:r w:rsidRPr="00CC3CF4">
        <w:rPr>
          <w:rFonts w:ascii="Times New Roman" w:hAnsi="Times New Roman"/>
          <w:sz w:val="24"/>
          <w:szCs w:val="24"/>
        </w:rPr>
        <w:t>účinného využívání domácích a mezinárodních veřejných finančních prostředků; mobilizace vnitrostátního a mezinárodního soukromého sektoru; stimulace obchodu a investic; podpory vědy, techniky a inovací, jakož i odborného vzdělávání.</w:t>
      </w:r>
    </w:p>
    <w:p w:rsidR="00DC107A" w:rsidRPr="00CC3CF4" w:rsidRDefault="00DC107A" w:rsidP="00903CF7">
      <w:pPr>
        <w:pStyle w:val="HoofdtekstA"/>
        <w:spacing w:after="240"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EU a její členské státy podporují účinné zapojení místních orgánů do provádění nové městské agendy a do plnění souvisejících cílů udržitelného rozvoje a Agendy pro udržitelný rozvoj 2030, a to i prostřednictvím jejich přístupu ke všem veřejným a soukromým zdrojům financování, jak je uvedeno v akčním programu z Addis Abeby, včetně odpovídajících finančních toků oficiální rozvojové pomoci a rámců, které usnadňují kombinování oficiální rozvojové pomoci s půjčkami.</w:t>
      </w:r>
    </w:p>
    <w:p w:rsidR="00DC107A" w:rsidRPr="00CC3CF4" w:rsidRDefault="00903CF7" w:rsidP="00903CF7">
      <w:pPr>
        <w:pStyle w:val="HoofdtekstA"/>
        <w:spacing w:after="24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10.</w:t>
      </w:r>
      <w:r w:rsidRPr="00CC3CF4">
        <w:rPr>
          <w:rFonts w:ascii="Times New Roman" w:hAnsi="Times New Roman"/>
          <w:sz w:val="24"/>
          <w:szCs w:val="24"/>
        </w:rPr>
        <w:tab/>
        <w:t>Jsme odhodláni vypracovat a provádět novou městskou agendu za aktivního zapojení místních orgánů a jejich sdružení, občanské společnosti, včetně</w:t>
      </w:r>
      <w:r w:rsidR="00BD33A0">
        <w:rPr>
          <w:rFonts w:ascii="Times New Roman" w:hAnsi="Times New Roman"/>
          <w:sz w:val="24"/>
          <w:szCs w:val="24"/>
        </w:rPr>
        <w:t xml:space="preserve"> institucionálních mechanismů a </w:t>
      </w:r>
      <w:r w:rsidRPr="00CC3CF4">
        <w:rPr>
          <w:rFonts w:ascii="Times New Roman" w:hAnsi="Times New Roman"/>
          <w:sz w:val="24"/>
          <w:szCs w:val="24"/>
        </w:rPr>
        <w:t>partnerství za účasti více aktérů, jakož i nevládních organizací, zástupců soukromého sektoru a dalších zainteresovaných stran.</w:t>
      </w:r>
    </w:p>
    <w:p w:rsidR="00DC107A" w:rsidRPr="00CC3CF4" w:rsidRDefault="00207547" w:rsidP="00DC107A">
      <w:pPr>
        <w:pStyle w:val="HoofdtekstA"/>
        <w:spacing w:after="240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F4">
        <w:br w:type="page"/>
      </w:r>
      <w:r w:rsidRPr="00CC3CF4">
        <w:rPr>
          <w:rFonts w:ascii="Times New Roman" w:hAnsi="Times New Roman"/>
          <w:b/>
          <w:bCs/>
          <w:sz w:val="24"/>
          <w:szCs w:val="24"/>
        </w:rPr>
        <w:t>Další kroky</w:t>
      </w:r>
    </w:p>
    <w:p w:rsidR="00DC107A" w:rsidRPr="00CC3CF4" w:rsidRDefault="00903CF7" w:rsidP="00903CF7">
      <w:pPr>
        <w:pStyle w:val="HoofdtekstA"/>
        <w:spacing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/>
          <w:sz w:val="24"/>
          <w:szCs w:val="24"/>
        </w:rPr>
        <w:t>11.</w:t>
      </w:r>
      <w:r w:rsidRPr="00CC3CF4">
        <w:rPr>
          <w:rFonts w:ascii="Times New Roman" w:hAnsi="Times New Roman"/>
          <w:sz w:val="24"/>
          <w:szCs w:val="24"/>
        </w:rPr>
        <w:tab/>
        <w:t>EU a její členské státy znovu opakují, že jsou odhodlány usilovat o dosažení úspěšného výsledku konference Habitat III, jenž povede k formulování celosvětové nové městské agendy, která bude účinně reagovat na výzvy a příležitosti, jež města 21. století představují. Za tímto účelem budou EU a její členské státy nadále rozvíjet a aktualizovat společné postoje a účinně a jednotně se zapojovat do nadcházejících mezinárodních jednání.</w:t>
      </w:r>
    </w:p>
    <w:p w:rsidR="00FC4670" w:rsidRPr="00CB7892" w:rsidRDefault="00FC4670" w:rsidP="006215F1">
      <w:pPr>
        <w:pStyle w:val="FinalLine"/>
      </w:pPr>
    </w:p>
    <w:sectPr w:rsidR="00FC4670" w:rsidRPr="00CB7892" w:rsidSect="0061156F">
      <w:headerReference w:type="default" r:id="rId12"/>
      <w:footerReference w:type="default" r:id="rId13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CD" w:rsidRDefault="00972ECD" w:rsidP="00972ECD">
      <w:pPr>
        <w:spacing w:before="0" w:after="0" w:line="240" w:lineRule="auto"/>
      </w:pPr>
      <w:r>
        <w:separator/>
      </w:r>
    </w:p>
  </w:endnote>
  <w:endnote w:type="continuationSeparator" w:id="0">
    <w:p w:rsidR="00972ECD" w:rsidRDefault="00972ECD" w:rsidP="00972E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156F" w:rsidRPr="00D94637" w:rsidTr="006115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156F" w:rsidRPr="00D94637" w:rsidRDefault="006115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61156F" w:rsidRPr="00B310DC" w:rsidTr="006115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156F" w:rsidRPr="00AD7BF2" w:rsidRDefault="0061156F" w:rsidP="004F54B2">
          <w:pPr>
            <w:pStyle w:val="FooterText"/>
          </w:pPr>
          <w:r>
            <w:t>8824/16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156F" w:rsidRPr="00AD7BF2" w:rsidRDefault="006115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156F" w:rsidRPr="002511D8" w:rsidRDefault="0061156F" w:rsidP="00D94637">
          <w:pPr>
            <w:pStyle w:val="FooterText"/>
            <w:jc w:val="center"/>
          </w:pPr>
          <w:r>
            <w:t>mp/kno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156F" w:rsidRPr="00B310DC" w:rsidRDefault="006115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D33A0">
            <w:rPr>
              <w:noProof/>
            </w:rPr>
            <w:t>2</w:t>
          </w:r>
          <w:r>
            <w:fldChar w:fldCharType="end"/>
          </w:r>
        </w:p>
      </w:tc>
    </w:tr>
    <w:tr w:rsidR="0061156F" w:rsidRPr="00D94637" w:rsidTr="0061156F">
      <w:trPr>
        <w:jc w:val="center"/>
      </w:trPr>
      <w:tc>
        <w:tcPr>
          <w:tcW w:w="1774" w:type="pct"/>
          <w:shd w:val="clear" w:color="auto" w:fill="auto"/>
        </w:tcPr>
        <w:p w:rsidR="0061156F" w:rsidRPr="00AD7BF2" w:rsidRDefault="006115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156F" w:rsidRPr="00AD7BF2" w:rsidRDefault="0061156F" w:rsidP="00D204D6">
          <w:pPr>
            <w:pStyle w:val="FooterText"/>
            <w:spacing w:before="40"/>
            <w:jc w:val="center"/>
          </w:pPr>
          <w:r>
            <w:t>DG C 1</w:t>
          </w:r>
        </w:p>
      </w:tc>
      <w:tc>
        <w:tcPr>
          <w:tcW w:w="1147" w:type="pct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1"/>
  </w:tbl>
  <w:p w:rsidR="008533BF" w:rsidRPr="0061156F" w:rsidRDefault="008533BF" w:rsidP="0061156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156F" w:rsidRPr="00D94637" w:rsidTr="006115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156F" w:rsidRPr="00D94637" w:rsidRDefault="006115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1156F" w:rsidRPr="00B310DC" w:rsidTr="006115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156F" w:rsidRPr="00AD7BF2" w:rsidRDefault="0061156F" w:rsidP="004F54B2">
          <w:pPr>
            <w:pStyle w:val="FooterText"/>
          </w:pPr>
          <w:r>
            <w:t>8824/16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156F" w:rsidRPr="00AD7BF2" w:rsidRDefault="006115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156F" w:rsidRPr="002511D8" w:rsidRDefault="0061156F" w:rsidP="00D94637">
          <w:pPr>
            <w:pStyle w:val="FooterText"/>
            <w:jc w:val="center"/>
          </w:pPr>
          <w:r>
            <w:t>mp/kno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156F" w:rsidRPr="00B310DC" w:rsidRDefault="006115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F76D0">
            <w:rPr>
              <w:noProof/>
            </w:rPr>
            <w:t>1</w:t>
          </w:r>
          <w:r>
            <w:fldChar w:fldCharType="end"/>
          </w:r>
        </w:p>
      </w:tc>
    </w:tr>
    <w:tr w:rsidR="0061156F" w:rsidRPr="00D94637" w:rsidTr="0061156F">
      <w:trPr>
        <w:jc w:val="center"/>
      </w:trPr>
      <w:tc>
        <w:tcPr>
          <w:tcW w:w="1774" w:type="pct"/>
          <w:shd w:val="clear" w:color="auto" w:fill="auto"/>
        </w:tcPr>
        <w:p w:rsidR="0061156F" w:rsidRPr="00AD7BF2" w:rsidRDefault="0061156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156F" w:rsidRPr="00AD7BF2" w:rsidRDefault="0061156F" w:rsidP="00D204D6">
          <w:pPr>
            <w:pStyle w:val="FooterText"/>
            <w:spacing w:before="40"/>
            <w:jc w:val="center"/>
          </w:pPr>
          <w:r>
            <w:t>DG C 1</w:t>
          </w:r>
        </w:p>
      </w:tc>
      <w:tc>
        <w:tcPr>
          <w:tcW w:w="1147" w:type="pct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8533BF" w:rsidRPr="0061156F" w:rsidRDefault="008533BF" w:rsidP="0061156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156F" w:rsidRPr="00D94637" w:rsidTr="0061156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156F" w:rsidRPr="00D94637" w:rsidRDefault="0061156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1156F" w:rsidRPr="00B310DC" w:rsidTr="0061156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156F" w:rsidRPr="00AD7BF2" w:rsidRDefault="0061156F" w:rsidP="004F54B2">
          <w:pPr>
            <w:pStyle w:val="FooterText"/>
          </w:pPr>
          <w:r>
            <w:t>8824/16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156F" w:rsidRPr="00AD7BF2" w:rsidRDefault="0061156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156F" w:rsidRPr="002511D8" w:rsidRDefault="0061156F" w:rsidP="00D94637">
          <w:pPr>
            <w:pStyle w:val="FooterText"/>
            <w:jc w:val="center"/>
          </w:pPr>
          <w:r>
            <w:t>mp/kno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156F" w:rsidRPr="00B310DC" w:rsidRDefault="0061156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95CB3">
            <w:rPr>
              <w:noProof/>
            </w:rPr>
            <w:t>9</w:t>
          </w:r>
          <w:r>
            <w:fldChar w:fldCharType="end"/>
          </w:r>
        </w:p>
      </w:tc>
    </w:tr>
    <w:tr w:rsidR="0061156F" w:rsidRPr="00D94637" w:rsidTr="0061156F">
      <w:trPr>
        <w:jc w:val="center"/>
      </w:trPr>
      <w:tc>
        <w:tcPr>
          <w:tcW w:w="1774" w:type="pct"/>
          <w:shd w:val="clear" w:color="auto" w:fill="auto"/>
        </w:tcPr>
        <w:p w:rsidR="0061156F" w:rsidRPr="00AD7BF2" w:rsidRDefault="0061156F" w:rsidP="00D94637">
          <w:pPr>
            <w:pStyle w:val="FooterText"/>
            <w:spacing w:before="40"/>
          </w:pPr>
          <w:r>
            <w:t>PŘÍLOHA</w:t>
          </w:r>
        </w:p>
      </w:tc>
      <w:tc>
        <w:tcPr>
          <w:tcW w:w="1455" w:type="pct"/>
          <w:gridSpan w:val="3"/>
          <w:shd w:val="clear" w:color="auto" w:fill="auto"/>
        </w:tcPr>
        <w:p w:rsidR="0061156F" w:rsidRPr="00AD7BF2" w:rsidRDefault="0061156F" w:rsidP="00D204D6">
          <w:pPr>
            <w:pStyle w:val="FooterText"/>
            <w:spacing w:before="40"/>
            <w:jc w:val="center"/>
          </w:pPr>
          <w:r>
            <w:t>DG C 1</w:t>
          </w:r>
        </w:p>
      </w:tc>
      <w:tc>
        <w:tcPr>
          <w:tcW w:w="1147" w:type="pct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156F" w:rsidRPr="00D94637" w:rsidRDefault="0061156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6215F1" w:rsidRPr="0061156F" w:rsidRDefault="006215F1" w:rsidP="0061156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CD" w:rsidRDefault="00972ECD" w:rsidP="00972ECD">
      <w:pPr>
        <w:spacing w:before="0" w:after="0" w:line="240" w:lineRule="auto"/>
      </w:pPr>
      <w:r>
        <w:separator/>
      </w:r>
    </w:p>
  </w:footnote>
  <w:footnote w:type="continuationSeparator" w:id="0">
    <w:p w:rsidR="00972ECD" w:rsidRDefault="00972ECD" w:rsidP="00972ECD">
      <w:pPr>
        <w:spacing w:before="0" w:after="0" w:line="240" w:lineRule="auto"/>
      </w:pPr>
      <w:r>
        <w:continuationSeparator/>
      </w:r>
    </w:p>
  </w:footnote>
  <w:footnote w:id="1">
    <w:p w:rsidR="001A307D" w:rsidRPr="00CB7892" w:rsidRDefault="001A307D" w:rsidP="00EB35A7">
      <w:pPr>
        <w:pStyle w:val="FootnoteText"/>
      </w:pPr>
      <w:r w:rsidRPr="00CB7892">
        <w:rPr>
          <w:rStyle w:val="FootnoteReference"/>
        </w:rPr>
        <w:footnoteRef/>
      </w:r>
      <w:r>
        <w:tab/>
        <w:t>Zejména s přihlédnutím k usnesení Rady 2001/C 73/04 o kv</w:t>
      </w:r>
      <w:r w:rsidR="00BD33A0">
        <w:t>alitě architektury ve městech a </w:t>
      </w:r>
      <w:r>
        <w:t>na venkově (Úř. věst. C 73/6, 12.2.2001).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1" w:rsidRPr="0061156F" w:rsidRDefault="006215F1" w:rsidP="00611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5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7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8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5"/>
  </w:num>
  <w:num w:numId="16">
    <w:abstractNumId w:val="12"/>
  </w:num>
  <w:num w:numId="17">
    <w:abstractNumId w:val="8"/>
  </w:num>
  <w:num w:numId="18">
    <w:abstractNumId w:val="13"/>
  </w:num>
  <w:num w:numId="19">
    <w:abstractNumId w:val="2"/>
  </w:num>
  <w:num w:numId="20">
    <w:abstractNumId w:val="18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339b06b7-73c9-4861-9440-0803b8fcc169&quot;&gt;_x000d__x000a_  &lt;metadata key=&quot;md_DocumentLanguages&quot; translate=&quot;false&quot;&gt;_x000d__x000a_    &lt;basicdatatypelist&gt;_x000d__x000a_      &lt;language key=&quot;CS&quot; text=&quot;CS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56&quot; text=&quot;VÝSLEDEK JEDNÁNÍ&quot; /&gt;_x000d__x000a_    &lt;/basicdatatype&gt;_x000d__x000a_  &lt;/metadata&gt;_x000d__x000a_  &lt;metadata key=&quot;md_HeadingText&quot; translate=&quot;false&quot;&gt;_x000d__x000a_    &lt;headingtext text=&quot;VÝSLEDEK JEDNÁNÍ&quot;&gt;_x000d__x000a_      &lt;formattedtext&gt;_x000d__x000a_        &lt;xaml text=&quot;VÝSLEDEK JEDNÁNÍ&quot;&gt;&amp;lt;FlowDocument xmlns=&quot;http://schemas.microsoft.com/winfx/2006/xaml/presentation&quot;&amp;gt;&amp;lt;Paragraph&amp;gt;VÝSLEDEK JEDNÁNÍ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9&quot; text=&quot;Reporting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 translate=&quot;false&quot;&gt;_x000d__x000a_    &lt;text&gt;2016-05-12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82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DEVGEN 87&lt;/text&gt;_x000d__x000a_      &lt;text&gt;ONU 55&lt;/text&gt;_x000d__x000a_      &lt;text&gt;RELEX 375&lt;/text&gt;_x000d__x000a_      &lt;text&gt;REGIO 23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or_09&quot; text=&quot;Generální sekretariát Rady&quot; /&gt;_x000d__x000a_    &lt;/basicdatatype&gt;_x000d__x000a_  &lt;/metadata&gt;_x000d__x000a_  &lt;metadata key=&quot;md_Recipient&quot; translate=&quot;false&quot;&gt;_x000d__x000a_    &lt;basicdatatype&gt;_x000d__x000a_      &lt;recipient key=&quot;re_07&quot; text=&quot;Delegace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&gt;_x000d__x000a_      &lt;text&gt;2016-05-12&lt;/text&gt;_x000d__x000a_    &lt;/textlist&gt;_x000d__x000a_  &lt;/metadata&gt;_x000d__x000a_  &lt;metadata key=&quot;md_PrecedingDocuments&quot; translate=&quot;false&quot;&gt;_x000d__x000a_    &lt;textlist&gt;_x000d__x000a_      &lt;text&gt;&lt;/text&gt;_x000d__x000a_      &lt;text&gt;8283/16&lt;/text&gt;_x000d__x000a_    &lt;/textlist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Konference Habitat III: Cíle a priority Evropské unie a jejích &amp;#269;lenských stát&amp;#367; pro 3. konferenci OSN o bydlení a udr&amp;#382;itelném rozvoji m&amp;#283;st &amp;#8211; záv&amp;#283;ry Rady (12. kv&amp;#283;tna 2016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Konference Habitat III: &amp;lt;/Run&amp;gt;Cíle a priority Evropské unie a jejích &amp;#269;lenských stát&amp;#367; pro 3. konferenci OSN o bydlení a udr&amp;#382;itelném rozvoji m&amp;#283;st&amp;lt;/Paragraph&amp;gt;&amp;lt;Paragraph FontFamily=&quot;Georgia&quot; FontSize=&quot;16&quot;&amp;gt;&amp;lt;Run FontFamily=&quot;Arial Unicode MS&quot; xml:lang=&quot;en-gb&quot;&amp;gt;&amp;#8211; záv&amp;#283;ry Rady (12. kv&amp;#283;tna 2016)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G C 1&lt;/text&gt;_x000d__x000a_  &lt;/metadata&gt;_x000d__x000a_  &lt;metadata key=&quot;md_Initials&quot; translate=&quot;false&quot;&gt;_x000d__x000a_    &lt;text&gt;mp/kno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translate=&quot;false&quot;&gt;_x000d__x000a_    &lt;text&gt;false&lt;/text&gt;_x000d__x000a_  &lt;/metadata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0df5b60a-4b81-4b42-9987-a095b3bd89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'I/A' ITEM NOTE&quot; /&gt;_x000d__x000a_    &lt;/basicdatatype&gt;_x000d__x000a_  &lt;/metadata&gt;_x000d__x000a_  &lt;metadata key=&quot;md_HeadingText&quot;&gt;_x000d__x000a_    &lt;headingtext text=&quot;'I/A' ITEM NOTE&quot;&gt;_x000d__x000a_      &lt;formattedtext&gt;_x000d__x000a_        &lt;xaml text=&quot;'I/A' ITEM NOTE&quot;&gt;&amp;lt;FlowDocument xmlns=&quot;http://schemas.microsoft.com/winfx/2006/xaml/presentation&quot;&amp;gt;&amp;lt;Paragraph&amp;gt;'I/A' ITEM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4-29&lt;/text&gt;_x000d__x000a_  &lt;/metadata&gt;_x000d__x000a_  &lt;metadata key=&quot;md_Prefix&quot;&gt;_x000d__x000a_    &lt;text&gt;&lt;/text&gt;_x000d__x000a_  &lt;/metadata&gt;_x000d__x000a_  &lt;metadata key=&quot;md_DocumentNumber&quot;&gt;_x000d__x000a_    &lt;text&gt;8283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2&quot; text=&quot;LIMITE&quot; /&gt;_x000d__x000a_    &lt;/basicdatatype&gt;_x000d__x000a_  &lt;/metadata&gt;_x000d__x000a_  &lt;metadata key=&quot;md_SubjectCodes&quot;&gt;_x000d__x000a_    &lt;textlist&gt;_x000d__x000a_      &lt;text&gt;DEVGEN 57&lt;/text&gt;_x000d__x000a_      &lt;text&gt;ONU 44&lt;/text&gt;_x000d__x000a_      &lt;text&gt;RELEX 310&lt;/text&gt;_x000d__x000a_      &lt;text&gt;REGIO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General Secretariat of the Council&quot; /&gt;_x000d__x000a_    &lt;/basicdatatype&gt;_x000d__x000a_  &lt;/metadata&gt;_x000d__x000a_  &lt;metadata key=&quot;md_Recipient&quot;&gt;_x000d__x000a_    &lt;basicdatatype&gt;_x000d__x000a_      &lt;recipient key=&quot;re_15&quot; text=&quot;Permanent Representatives Committee (Part 2)/Counc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HABITAT III: The European Union and its Member States' objectives and priorities for the 3rd UN Conference on Housing and Sustainable Urban Development - Draft Council conclusions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HABITAT III: The European Union and its Member States' objectives and priorities&amp;lt;/Run&amp;gt;&amp;lt;Run FontFamily=&quot;Arial Unicode MS&quot; xml:lang=&quot;en-gb&quot; xml:space=&quot;preserve&quot;&amp;gt; &amp;lt;/Run&amp;gt;&amp;lt;Run FontFamily=&quot;Arial Unicode MS&quot;&amp;gt;for the 3rd UN Conference on Housing and Sustainable Urban Development&amp;lt;/Run&amp;gt;&amp;lt;/Paragraph&amp;gt;&amp;lt;Paragraph FontFamily=&quot;Georgia&quot; FontSize=&quot;16&quot;&amp;gt;&amp;lt;Run FontFamily=&quot;Arial Unicode MS&quot; xml:lang=&quot;en-gb&quot;&amp;gt;- Draft Council conclusions&amp;lt;/Run&amp;gt;&amp;lt;/Paragraph&amp;gt;&amp;lt;/FlowDocument&amp;gt;&lt;/xaml&gt;_x000d__x000a_  &lt;/metadata&gt;_x000d__x000a_  &lt;metadata key=&quot;md_SubjectFootnote&quot; /&gt;_x000d__x000a_  &lt;metadata key=&quot;md_DG&quot;&gt;_x000d__x000a_    &lt;text&gt;DG C 1&lt;/text&gt;_x000d__x000a_  &lt;/metadata&gt;_x000d__x000a_  &lt;metadata key=&quot;md_Initials&quot;&gt;_x000d__x000a_    &lt;text&gt;YML/i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972ECD"/>
    <w:rsid w:val="00096B04"/>
    <w:rsid w:val="000C5FFA"/>
    <w:rsid w:val="000C6514"/>
    <w:rsid w:val="000D048B"/>
    <w:rsid w:val="000E3938"/>
    <w:rsid w:val="00127E2D"/>
    <w:rsid w:val="00130CD9"/>
    <w:rsid w:val="00170EF7"/>
    <w:rsid w:val="00182F2F"/>
    <w:rsid w:val="001A307D"/>
    <w:rsid w:val="00207547"/>
    <w:rsid w:val="002345D5"/>
    <w:rsid w:val="00356F5F"/>
    <w:rsid w:val="00396AE2"/>
    <w:rsid w:val="003C5E29"/>
    <w:rsid w:val="00414945"/>
    <w:rsid w:val="004254CC"/>
    <w:rsid w:val="00462B10"/>
    <w:rsid w:val="004A5CE6"/>
    <w:rsid w:val="005B5F00"/>
    <w:rsid w:val="0061156F"/>
    <w:rsid w:val="006215F1"/>
    <w:rsid w:val="00625999"/>
    <w:rsid w:val="00626A0E"/>
    <w:rsid w:val="006351BB"/>
    <w:rsid w:val="00641FC3"/>
    <w:rsid w:val="007161AD"/>
    <w:rsid w:val="007A055A"/>
    <w:rsid w:val="007C741E"/>
    <w:rsid w:val="00804322"/>
    <w:rsid w:val="008533BF"/>
    <w:rsid w:val="0085778A"/>
    <w:rsid w:val="00895168"/>
    <w:rsid w:val="00901450"/>
    <w:rsid w:val="00903CF7"/>
    <w:rsid w:val="00922C9B"/>
    <w:rsid w:val="0096239D"/>
    <w:rsid w:val="00972ECD"/>
    <w:rsid w:val="0097343D"/>
    <w:rsid w:val="0099370C"/>
    <w:rsid w:val="009B07D1"/>
    <w:rsid w:val="00A00165"/>
    <w:rsid w:val="00A17714"/>
    <w:rsid w:val="00A30641"/>
    <w:rsid w:val="00A9312A"/>
    <w:rsid w:val="00A93207"/>
    <w:rsid w:val="00AD3E7D"/>
    <w:rsid w:val="00AD614C"/>
    <w:rsid w:val="00AE5B11"/>
    <w:rsid w:val="00AF032B"/>
    <w:rsid w:val="00AF3113"/>
    <w:rsid w:val="00B54F86"/>
    <w:rsid w:val="00B5628E"/>
    <w:rsid w:val="00BD33A0"/>
    <w:rsid w:val="00BE6E3D"/>
    <w:rsid w:val="00C30331"/>
    <w:rsid w:val="00C621DA"/>
    <w:rsid w:val="00C6433F"/>
    <w:rsid w:val="00C95CB3"/>
    <w:rsid w:val="00CB7892"/>
    <w:rsid w:val="00CC3CF4"/>
    <w:rsid w:val="00D13316"/>
    <w:rsid w:val="00D6144D"/>
    <w:rsid w:val="00D826D8"/>
    <w:rsid w:val="00DC107A"/>
    <w:rsid w:val="00DC5EF5"/>
    <w:rsid w:val="00DF76D0"/>
    <w:rsid w:val="00E5767B"/>
    <w:rsid w:val="00E66928"/>
    <w:rsid w:val="00E80814"/>
    <w:rsid w:val="00EB35A7"/>
    <w:rsid w:val="00F157AD"/>
    <w:rsid w:val="00F5352A"/>
    <w:rsid w:val="00F86DEA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72EC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72ECD"/>
    <w:rPr>
      <w:sz w:val="24"/>
      <w:szCs w:val="24"/>
      <w:lang w:val="cs-CZ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72ECD"/>
    <w:rPr>
      <w:sz w:val="2"/>
      <w:szCs w:val="24"/>
      <w:lang w:val="cs-CZ" w:eastAsia="en-US"/>
    </w:rPr>
  </w:style>
  <w:style w:type="paragraph" w:customStyle="1" w:styleId="FooterText">
    <w:name w:val="Footer Text"/>
    <w:basedOn w:val="Normal"/>
    <w:rsid w:val="00972ECD"/>
    <w:pPr>
      <w:spacing w:before="0" w:after="0" w:line="240" w:lineRule="auto"/>
    </w:pPr>
  </w:style>
  <w:style w:type="paragraph" w:customStyle="1" w:styleId="HoofdtekstA">
    <w:name w:val="Hoofdtekst A"/>
    <w:rsid w:val="00DC107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DC107A"/>
    <w:rPr>
      <w:sz w:val="16"/>
      <w:szCs w:val="16"/>
    </w:rPr>
  </w:style>
  <w:style w:type="character" w:customStyle="1" w:styleId="FootnoteTextChar">
    <w:name w:val="Footnote Text Char"/>
    <w:basedOn w:val="DefaultParagraphFont"/>
    <w:uiPriority w:val="99"/>
    <w:rsid w:val="00DC107A"/>
    <w:rPr>
      <w:sz w:val="24"/>
      <w:lang w:val="cs-C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A"/>
    <w:rPr>
      <w:rFonts w:ascii="Tahoma" w:hAnsi="Tahoma" w:cs="Tahoma"/>
      <w:sz w:val="16"/>
      <w:szCs w:val="16"/>
      <w:lang w:val="cs-CZ" w:eastAsia="en-US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BD33A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2"/>
      </w:numPr>
    </w:pPr>
  </w:style>
  <w:style w:type="paragraph" w:customStyle="1" w:styleId="Bullet1">
    <w:name w:val="Bullet 1"/>
    <w:basedOn w:val="Normal"/>
    <w:rsid w:val="00F86DEA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"/>
      </w:numPr>
    </w:pPr>
  </w:style>
  <w:style w:type="paragraph" w:customStyle="1" w:styleId="Dash1">
    <w:name w:val="Dash 1"/>
    <w:basedOn w:val="Normal"/>
    <w:rsid w:val="00F86DEA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7"/>
      </w:numPr>
    </w:pPr>
  </w:style>
  <w:style w:type="paragraph" w:customStyle="1" w:styleId="DashEqual1">
    <w:name w:val="Dash Equal 1"/>
    <w:basedOn w:val="Dash1"/>
    <w:rsid w:val="00F86DEA"/>
    <w:pPr>
      <w:numPr>
        <w:numId w:val="8"/>
      </w:numPr>
    </w:pPr>
  </w:style>
  <w:style w:type="paragraph" w:customStyle="1" w:styleId="DashEqual2">
    <w:name w:val="Dash Equal 2"/>
    <w:basedOn w:val="Dash2"/>
    <w:rsid w:val="00F86DEA"/>
    <w:pPr>
      <w:numPr>
        <w:numId w:val="9"/>
      </w:numPr>
    </w:pPr>
  </w:style>
  <w:style w:type="paragraph" w:customStyle="1" w:styleId="DashEqual3">
    <w:name w:val="Dash Equal 3"/>
    <w:basedOn w:val="Dash3"/>
    <w:rsid w:val="00F86DEA"/>
    <w:pPr>
      <w:numPr>
        <w:numId w:val="10"/>
      </w:numPr>
    </w:pPr>
  </w:style>
  <w:style w:type="paragraph" w:customStyle="1" w:styleId="DashEqual4">
    <w:name w:val="Dash Equal 4"/>
    <w:basedOn w:val="Dash4"/>
    <w:rsid w:val="00F86DEA"/>
    <w:pPr>
      <w:numPr>
        <w:numId w:val="1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2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72EC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72ECD"/>
    <w:rPr>
      <w:sz w:val="24"/>
      <w:szCs w:val="24"/>
      <w:lang w:val="cs-CZ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72ECD"/>
    <w:rPr>
      <w:sz w:val="2"/>
      <w:szCs w:val="24"/>
      <w:lang w:val="cs-CZ" w:eastAsia="en-US"/>
    </w:rPr>
  </w:style>
  <w:style w:type="paragraph" w:customStyle="1" w:styleId="FooterText">
    <w:name w:val="Footer Text"/>
    <w:basedOn w:val="Normal"/>
    <w:rsid w:val="00972ECD"/>
    <w:pPr>
      <w:spacing w:before="0" w:after="0" w:line="240" w:lineRule="auto"/>
    </w:pPr>
  </w:style>
  <w:style w:type="paragraph" w:customStyle="1" w:styleId="HoofdtekstA">
    <w:name w:val="Hoofdtekst A"/>
    <w:rsid w:val="00DC107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DC107A"/>
    <w:rPr>
      <w:sz w:val="16"/>
      <w:szCs w:val="16"/>
    </w:rPr>
  </w:style>
  <w:style w:type="character" w:customStyle="1" w:styleId="FootnoteTextChar">
    <w:name w:val="Footnote Text Char"/>
    <w:basedOn w:val="DefaultParagraphFont"/>
    <w:uiPriority w:val="99"/>
    <w:rsid w:val="00DC107A"/>
    <w:rPr>
      <w:sz w:val="24"/>
      <w:lang w:val="cs-C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8A"/>
    <w:rPr>
      <w:rFonts w:ascii="Tahoma" w:hAnsi="Tahoma" w:cs="Tahoma"/>
      <w:sz w:val="16"/>
      <w:szCs w:val="16"/>
      <w:lang w:val="cs-CZ" w:eastAsia="en-US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BD33A0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2"/>
      </w:numPr>
    </w:pPr>
  </w:style>
  <w:style w:type="paragraph" w:customStyle="1" w:styleId="Bullet1">
    <w:name w:val="Bullet 1"/>
    <w:basedOn w:val="Normal"/>
    <w:rsid w:val="00F86DEA"/>
    <w:pPr>
      <w:numPr>
        <w:numId w:val="1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"/>
      </w:numPr>
    </w:pPr>
  </w:style>
  <w:style w:type="paragraph" w:customStyle="1" w:styleId="Dash1">
    <w:name w:val="Dash 1"/>
    <w:basedOn w:val="Normal"/>
    <w:rsid w:val="00F86DEA"/>
    <w:pPr>
      <w:numPr>
        <w:numId w:val="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7"/>
      </w:numPr>
    </w:pPr>
  </w:style>
  <w:style w:type="paragraph" w:customStyle="1" w:styleId="DashEqual1">
    <w:name w:val="Dash Equal 1"/>
    <w:basedOn w:val="Dash1"/>
    <w:rsid w:val="00F86DEA"/>
    <w:pPr>
      <w:numPr>
        <w:numId w:val="8"/>
      </w:numPr>
    </w:pPr>
  </w:style>
  <w:style w:type="paragraph" w:customStyle="1" w:styleId="DashEqual2">
    <w:name w:val="Dash Equal 2"/>
    <w:basedOn w:val="Dash2"/>
    <w:rsid w:val="00F86DEA"/>
    <w:pPr>
      <w:numPr>
        <w:numId w:val="9"/>
      </w:numPr>
    </w:pPr>
  </w:style>
  <w:style w:type="paragraph" w:customStyle="1" w:styleId="DashEqual3">
    <w:name w:val="Dash Equal 3"/>
    <w:basedOn w:val="Dash3"/>
    <w:rsid w:val="00F86DEA"/>
    <w:pPr>
      <w:numPr>
        <w:numId w:val="10"/>
      </w:numPr>
    </w:pPr>
  </w:style>
  <w:style w:type="paragraph" w:customStyle="1" w:styleId="DashEqual4">
    <w:name w:val="Dash Equal 4"/>
    <w:basedOn w:val="Dash4"/>
    <w:rsid w:val="00F86DEA"/>
    <w:pPr>
      <w:numPr>
        <w:numId w:val="1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2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C382-5982-4DAB-A9D7-0E51FF26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9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KOJETSKA Ivana</dc:creator>
  <cp:lastModifiedBy>NOVOTNY Karel</cp:lastModifiedBy>
  <cp:revision>2</cp:revision>
  <cp:lastPrinted>2016-05-11T14:39:00Z</cp:lastPrinted>
  <dcterms:created xsi:type="dcterms:W3CDTF">2016-05-12T11:24:00Z</dcterms:created>
  <dcterms:modified xsi:type="dcterms:W3CDTF">2016-05-12T11:24:00Z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