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9D79" w14:textId="03492102" w:rsidR="002408B7" w:rsidRDefault="0064757D">
      <w:pPr>
        <w:spacing w:before="120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Oblast podpory, na které je vyhlášena </w:t>
      </w:r>
      <w:r w:rsidR="000257C4"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b/>
          <w:sz w:val="24"/>
          <w:szCs w:val="24"/>
        </w:rPr>
        <w:t xml:space="preserve">výzva k podávání žádostí </w:t>
      </w:r>
      <w:r>
        <w:rPr>
          <w:rFonts w:ascii="Arial" w:hAnsi="Arial" w:cs="Arial"/>
          <w:b/>
          <w:sz w:val="24"/>
          <w:szCs w:val="24"/>
        </w:rPr>
        <w:br/>
        <w:t>o dotace pro rok 2022</w:t>
      </w:r>
      <w:bookmarkStart w:id="0" w:name="_GoBack"/>
      <w:bookmarkEnd w:id="0"/>
    </w:p>
    <w:p w14:paraId="0C6AA6DF" w14:textId="77777777" w:rsidR="002408B7" w:rsidRDefault="0064757D">
      <w:pPr>
        <w:numPr>
          <w:ilvl w:val="0"/>
          <w:numId w:val="4"/>
        </w:numPr>
        <w:tabs>
          <w:tab w:val="left" w:pos="1134"/>
          <w:tab w:val="left" w:pos="1418"/>
        </w:tabs>
        <w:spacing w:before="360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Udržitelný rozvoj regionů, měst a obcí </w:t>
      </w:r>
    </w:p>
    <w:p w14:paraId="08FC2E01" w14:textId="640A5BD7" w:rsidR="00F96EB5" w:rsidRDefault="00F96EB5" w:rsidP="00F96EB5">
      <w:pPr>
        <w:jc w:val="both"/>
        <w:rPr>
          <w:rFonts w:ascii="Arial" w:hAnsi="Arial" w:cs="Arial"/>
        </w:rPr>
      </w:pPr>
    </w:p>
    <w:p w14:paraId="091FC334" w14:textId="77777777" w:rsidR="00F96EB5" w:rsidRPr="006A6CDC" w:rsidRDefault="00F96EB5" w:rsidP="006A6CDC">
      <w:pPr>
        <w:spacing w:before="120" w:after="120"/>
        <w:jc w:val="both"/>
        <w:rPr>
          <w:rFonts w:ascii="Arial" w:hAnsi="Arial" w:cs="Arial"/>
        </w:rPr>
      </w:pPr>
      <w:r w:rsidRPr="006A6CDC">
        <w:rPr>
          <w:rFonts w:ascii="Arial" w:hAnsi="Arial" w:cs="Arial"/>
        </w:rPr>
        <w:t xml:space="preserve">Podporovány budou aktivity spojené s koordinací působení delegace ČR v Evropském výboru regionů (dále jen „EVR“) během předsednictví ČR v Radě EU (dále také „CZ PRES“). </w:t>
      </w:r>
    </w:p>
    <w:p w14:paraId="229063C1" w14:textId="0B703E3A" w:rsidR="00F96EB5" w:rsidRPr="006A6CDC" w:rsidRDefault="00F96EB5" w:rsidP="006A6CDC">
      <w:pPr>
        <w:spacing w:before="120" w:after="120"/>
        <w:jc w:val="both"/>
        <w:rPr>
          <w:rFonts w:ascii="Arial" w:hAnsi="Arial" w:cs="Arial"/>
        </w:rPr>
      </w:pPr>
      <w:r w:rsidRPr="006A6CDC">
        <w:rPr>
          <w:rFonts w:ascii="Arial" w:hAnsi="Arial" w:cs="Arial"/>
        </w:rPr>
        <w:t xml:space="preserve">Půjde o systémově založené či jednorázové aktivity </w:t>
      </w:r>
      <w:proofErr w:type="spellStart"/>
      <w:r w:rsidRPr="006A6CDC">
        <w:rPr>
          <w:rFonts w:ascii="Arial" w:hAnsi="Arial" w:cs="Arial"/>
        </w:rPr>
        <w:t>nadobecního</w:t>
      </w:r>
      <w:proofErr w:type="spellEnd"/>
      <w:r w:rsidRPr="006A6CDC">
        <w:rPr>
          <w:rFonts w:ascii="Arial" w:hAnsi="Arial" w:cs="Arial"/>
        </w:rPr>
        <w:t xml:space="preserve"> charakteru, sloužící mj. k naplňování cílů </w:t>
      </w:r>
      <w:r>
        <w:rPr>
          <w:rFonts w:ascii="Arial" w:hAnsi="Arial" w:cs="Arial"/>
        </w:rPr>
        <w:t>Strategie regionálního rozvoje ČR 21+ a Koncepce rozvoje venkova,</w:t>
      </w:r>
      <w:r w:rsidRPr="006A6CDC">
        <w:rPr>
          <w:rFonts w:ascii="Arial" w:hAnsi="Arial" w:cs="Arial"/>
        </w:rPr>
        <w:t xml:space="preserve"> </w:t>
      </w:r>
      <w:r w:rsidR="006A6CDC">
        <w:rPr>
          <w:rFonts w:ascii="Arial" w:hAnsi="Arial" w:cs="Arial"/>
        </w:rPr>
        <w:t xml:space="preserve">a </w:t>
      </w:r>
      <w:r w:rsidRPr="006A6CDC">
        <w:rPr>
          <w:rFonts w:ascii="Arial" w:hAnsi="Arial" w:cs="Arial"/>
        </w:rPr>
        <w:t>u kterých lze předpokládat prokazatelný pozitivní dopad na širší, kvantifikovatelné cílové skupiny z okruhu aktérů regionálního rozvoje.</w:t>
      </w:r>
    </w:p>
    <w:p w14:paraId="184FAFFE" w14:textId="2B4ED7A9" w:rsidR="00F96EB5" w:rsidRPr="006A6CDC" w:rsidRDefault="00F96EB5" w:rsidP="006A6CDC">
      <w:pPr>
        <w:spacing w:before="120" w:after="120"/>
        <w:jc w:val="both"/>
        <w:rPr>
          <w:rFonts w:ascii="Arial" w:hAnsi="Arial" w:cs="Arial"/>
        </w:rPr>
      </w:pPr>
      <w:r w:rsidRPr="006A6CDC">
        <w:rPr>
          <w:rFonts w:ascii="Arial" w:hAnsi="Arial" w:cs="Arial"/>
        </w:rPr>
        <w:t xml:space="preserve">Koordinace bude spočívat v přípravě a realizaci jednotlivých akcí krajů, měst a obcí ČR během CZ PRES a ve vytváření podmínek pro součinnost mezi Ministerstvem pro místní rozvoj, Stálým zastoupením ČR při EU, národními </w:t>
      </w:r>
      <w:r w:rsidRPr="001D5CFC">
        <w:rPr>
          <w:rFonts w:ascii="Arial" w:hAnsi="Arial" w:cs="Arial"/>
        </w:rPr>
        <w:t>orgány, samosprávami a institucemi EU. V této souvislosti budou podporovány také např. činnosti spojené s přípravami a projednáváním případných pozměňovacích návrhů, s formálními a neformálními jednáními s představiteli evropských institucí k prosazování a</w:t>
      </w:r>
      <w:r w:rsidR="00300B8E">
        <w:rPr>
          <w:rFonts w:ascii="Arial" w:hAnsi="Arial" w:cs="Arial"/>
        </w:rPr>
        <w:t> </w:t>
      </w:r>
      <w:r w:rsidRPr="006A6CDC">
        <w:rPr>
          <w:rFonts w:ascii="Arial" w:hAnsi="Arial" w:cs="Arial"/>
        </w:rPr>
        <w:t>objasňování pozice členů EVR, s formálními i neformálními setkáními s členy jiných národních delegací nebo s představiteli institucí EU.</w:t>
      </w:r>
    </w:p>
    <w:p w14:paraId="4148529E" w14:textId="248274FD" w:rsidR="002408B7" w:rsidRDefault="00F96EB5">
      <w:p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64757D">
        <w:rPr>
          <w:rFonts w:ascii="Arial" w:hAnsi="Arial" w:cs="Arial"/>
          <w:color w:val="000000"/>
        </w:rPr>
        <w:t xml:space="preserve">právněný žadatel o dotaci: </w:t>
      </w:r>
    </w:p>
    <w:p w14:paraId="0E964B06" w14:textId="0EDEC9B8" w:rsidR="002408B7" w:rsidRDefault="0064757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3170000043</w:t>
      </w:r>
      <w:r>
        <w:rPr>
          <w:rFonts w:ascii="Arial" w:hAnsi="Arial" w:cs="Arial"/>
        </w:rPr>
        <w:tab/>
        <w:t>Udržitelný rozvoj regionů, měst a obcí – Spolky</w:t>
      </w:r>
      <w:r w:rsidR="002C386C">
        <w:rPr>
          <w:rFonts w:ascii="Arial" w:hAnsi="Arial" w:cs="Arial"/>
        </w:rPr>
        <w:t>, zastřešující municipality s celostátní působností</w:t>
      </w:r>
    </w:p>
    <w:p w14:paraId="508309D8" w14:textId="7BC85115" w:rsidR="002408B7" w:rsidRDefault="0064757D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3170000045</w:t>
      </w:r>
      <w:r>
        <w:rPr>
          <w:rFonts w:ascii="Arial" w:hAnsi="Arial" w:cs="Arial"/>
          <w:color w:val="000000"/>
        </w:rPr>
        <w:tab/>
        <w:t>Udržitelný rozvoj regionů, měst a obcí – Nadace a nadační fondy (ZSPO</w:t>
      </w:r>
      <w:r w:rsidR="00BB57F7">
        <w:rPr>
          <w:rFonts w:ascii="Arial" w:hAnsi="Arial" w:cs="Arial"/>
          <w:color w:val="000000"/>
        </w:rPr>
        <w:t>)</w:t>
      </w:r>
      <w:r w:rsidR="002C386C">
        <w:rPr>
          <w:rFonts w:ascii="Arial" w:hAnsi="Arial" w:cs="Arial"/>
          <w:color w:val="000000"/>
        </w:rPr>
        <w:t xml:space="preserve">, </w:t>
      </w:r>
      <w:r w:rsidR="002C386C" w:rsidRPr="002C386C">
        <w:rPr>
          <w:rFonts w:ascii="Arial" w:hAnsi="Arial" w:cs="Arial"/>
          <w:color w:val="000000"/>
        </w:rPr>
        <w:t>zastřešující municipality s celostátní působností</w:t>
      </w:r>
      <w:r w:rsidR="002C386C" w:rsidDel="002C386C">
        <w:rPr>
          <w:rFonts w:ascii="Arial" w:hAnsi="Arial" w:cs="Arial"/>
          <w:color w:val="000000"/>
        </w:rPr>
        <w:t xml:space="preserve"> </w:t>
      </w:r>
    </w:p>
    <w:p w14:paraId="6D42DC49" w14:textId="60E992C8" w:rsidR="002408B7" w:rsidRDefault="0064757D" w:rsidP="00E46310">
      <w:pPr>
        <w:spacing w:before="12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>Další požadavky, které musí žadatel o dotaci naplnit</w:t>
      </w:r>
    </w:p>
    <w:p w14:paraId="3909D3E2" w14:textId="77777777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o dotaci může podat pouze jednu žádost za vybranou oblast podpory pro rok 2022.</w:t>
      </w:r>
    </w:p>
    <w:p w14:paraId="491251C1" w14:textId="77777777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o dotaci musí být přímo zodpovědný za přípravu a řízení projektu, nesmí působit jako prostředník.</w:t>
      </w:r>
    </w:p>
    <w:p w14:paraId="5ED72BFB" w14:textId="574547BA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o dotaci ke dni podání žádosti nesmí mít žádné </w:t>
      </w:r>
      <w:r w:rsidR="00586536">
        <w:rPr>
          <w:rFonts w:ascii="Arial" w:hAnsi="Arial" w:cs="Arial"/>
        </w:rPr>
        <w:t xml:space="preserve">nesplacené </w:t>
      </w:r>
      <w:r>
        <w:rPr>
          <w:rFonts w:ascii="Arial" w:hAnsi="Arial" w:cs="Arial"/>
        </w:rPr>
        <w:t xml:space="preserve">závazky </w:t>
      </w:r>
      <w:r w:rsidR="00586536">
        <w:rPr>
          <w:rFonts w:ascii="Arial" w:hAnsi="Arial" w:cs="Arial"/>
        </w:rPr>
        <w:t xml:space="preserve">po splatnosti </w:t>
      </w:r>
      <w:r>
        <w:rPr>
          <w:rFonts w:ascii="Arial" w:hAnsi="Arial" w:cs="Arial"/>
        </w:rPr>
        <w:t>ve vztahu ke státnímu rozpočtu, ke státním fondům, zdravotní pojišťovně, orgánům sociálního zabezpečení nebo rozpočtu územního samosprávného celku.</w:t>
      </w:r>
    </w:p>
    <w:p w14:paraId="7FBF3856" w14:textId="0F2E2FFD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o dotaci ke dni podání žádosti</w:t>
      </w:r>
      <w:r w:rsidR="00586536">
        <w:rPr>
          <w:rFonts w:ascii="Arial" w:hAnsi="Arial" w:cs="Arial"/>
        </w:rPr>
        <w:t xml:space="preserve"> ani k datu vydání Rozhodnutí o poskytnutí dotace</w:t>
      </w:r>
      <w:r>
        <w:rPr>
          <w:rFonts w:ascii="Arial" w:hAnsi="Arial" w:cs="Arial"/>
        </w:rPr>
        <w:t xml:space="preserve"> nesmí být </w:t>
      </w:r>
      <w:r w:rsidR="00586536">
        <w:rPr>
          <w:rFonts w:ascii="Arial" w:hAnsi="Arial" w:cs="Arial"/>
        </w:rPr>
        <w:t xml:space="preserve">v insolvenčním řízení podle zákona č. 182/2006 Sb., zákona o úpadku a způsobech jeho řešení (insolvenční zákona) v platném znění, </w:t>
      </w:r>
      <w:r>
        <w:rPr>
          <w:rFonts w:ascii="Arial" w:hAnsi="Arial" w:cs="Arial"/>
        </w:rPr>
        <w:t>v likvidaci, nesmí proti němu být v uplynulých třech letech vyhlášen konkurs (nebo vyrovnání) nebo konkurs nesměl být zrušen pro nedostatek majetku.</w:t>
      </w:r>
    </w:p>
    <w:p w14:paraId="65E13A9E" w14:textId="77777777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o dotaci odpovídá za správnost a úplnost údajů uvedených v žádosti.</w:t>
      </w:r>
    </w:p>
    <w:p w14:paraId="0C92B783" w14:textId="77777777" w:rsidR="002408B7" w:rsidRDefault="0064757D">
      <w:pPr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o dotaci odpovídá za to, že veškeré osobní údaje uvedené v žádosti byly zpracovány v souladu s nařízením Evropského parlamentu a Rady (EU) ze dne 27. dubna 2016 o ochraně fyzických osob v souvislosti se zpracováním osobních údajů a o volném pohybu těchto údajů a o zrušení směrnice 95/46/ES (obecné nařízení o ochraně osobních údajů) a podle dalších právních předpisů.</w:t>
      </w:r>
    </w:p>
    <w:p w14:paraId="7396D695" w14:textId="77777777" w:rsidR="002408B7" w:rsidRDefault="0064757D" w:rsidP="00E46310">
      <w:pPr>
        <w:numPr>
          <w:ilvl w:val="0"/>
          <w:numId w:val="16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poskytnutí dotace</w:t>
      </w:r>
    </w:p>
    <w:p w14:paraId="7A7773C8" w14:textId="40C2004B" w:rsidR="002408B7" w:rsidRDefault="0064757D" w:rsidP="006A6CD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Oprávněný žadatel o dotaci</w:t>
      </w:r>
    </w:p>
    <w:p w14:paraId="53A1B585" w14:textId="2CCF6CD9" w:rsidR="002408B7" w:rsidRDefault="0064757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Oprávněným žadatelem o dotaci </w:t>
      </w:r>
      <w:r>
        <w:rPr>
          <w:rFonts w:ascii="Arial" w:hAnsi="Arial" w:cs="Arial"/>
          <w:b/>
        </w:rPr>
        <w:t>může být</w:t>
      </w:r>
      <w:r>
        <w:rPr>
          <w:rFonts w:ascii="Arial" w:hAnsi="Arial" w:cs="Arial"/>
        </w:rPr>
        <w:t xml:space="preserve"> nestátní nezisková organizace (dále jen „NNO“) se sídlem v České republice: spolek, zájmové sdružení právnických osob, nadace a nadační fondy</w:t>
      </w:r>
      <w:r w:rsidR="000257C4">
        <w:rPr>
          <w:rFonts w:ascii="Arial" w:hAnsi="Arial" w:cs="Arial"/>
        </w:rPr>
        <w:t>.</w:t>
      </w:r>
      <w:r w:rsidR="006E2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Konkrétně </w:t>
      </w:r>
      <w:r w:rsidR="00586536">
        <w:rPr>
          <w:rFonts w:ascii="Arial" w:hAnsi="Arial" w:cs="Arial"/>
        </w:rPr>
        <w:t>viz výše</w:t>
      </w:r>
      <w:r>
        <w:rPr>
          <w:rFonts w:ascii="Arial" w:hAnsi="Arial" w:cs="Arial"/>
        </w:rPr>
        <w:t xml:space="preserve"> </w:t>
      </w:r>
      <w:r w:rsidR="000257C4">
        <w:rPr>
          <w:rFonts w:ascii="Arial" w:hAnsi="Arial" w:cs="Arial"/>
        </w:rPr>
        <w:t>oblast podpory</w:t>
      </w:r>
      <w:r>
        <w:rPr>
          <w:rFonts w:ascii="Arial" w:hAnsi="Arial" w:cs="Arial"/>
        </w:rPr>
        <w:t>.</w:t>
      </w:r>
    </w:p>
    <w:p w14:paraId="7DBD7E83" w14:textId="11BCED4A" w:rsidR="002408B7" w:rsidRDefault="006475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Žadatelem </w:t>
      </w:r>
      <w:r w:rsidR="006A0635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dotaci nesmí být</w:t>
      </w:r>
      <w:r w:rsidR="00586536">
        <w:rPr>
          <w:rFonts w:ascii="Arial" w:hAnsi="Arial" w:cs="Arial"/>
          <w:b/>
        </w:rPr>
        <w:t xml:space="preserve"> NNO</w:t>
      </w:r>
      <w:r>
        <w:rPr>
          <w:rFonts w:ascii="Arial" w:hAnsi="Arial" w:cs="Arial"/>
        </w:rPr>
        <w:t xml:space="preserve"> realizující komunitně vedený místní rozvoj podle nařízení Evropského parlamentu a Rady (EU) č. 1303/2013.</w:t>
      </w:r>
    </w:p>
    <w:p w14:paraId="69AB6791" w14:textId="77777777" w:rsidR="002408B7" w:rsidRDefault="0064757D">
      <w:pPr>
        <w:numPr>
          <w:ilvl w:val="0"/>
          <w:numId w:val="17"/>
        </w:numPr>
        <w:spacing w:before="240" w:after="120"/>
        <w:ind w:hanging="1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Uznatelné a neuznatelné nák</w:t>
      </w:r>
      <w:r>
        <w:rPr>
          <w:rFonts w:ascii="Arial" w:hAnsi="Arial" w:cs="Arial"/>
          <w:b/>
          <w:bCs/>
        </w:rPr>
        <w:t>lady projektu</w:t>
      </w:r>
    </w:p>
    <w:p w14:paraId="6FB108CE" w14:textId="24F3C92A" w:rsidR="002408B7" w:rsidRDefault="0064757D">
      <w:pPr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Uznatelné náklady jsou ty, které jsou spojené výhradně s realizací projektu</w:t>
      </w:r>
      <w:r>
        <w:rPr>
          <w:rFonts w:ascii="Arial" w:hAnsi="Arial" w:cs="Arial"/>
        </w:rPr>
        <w:t xml:space="preserve">, které vzniknou a budou vynaloženy v termínu od 1. </w:t>
      </w:r>
      <w:r w:rsidR="000257C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do 31. 12. 2022 nebo v části tohoto období. </w:t>
      </w:r>
    </w:p>
    <w:p w14:paraId="75ABAC96" w14:textId="77777777" w:rsidR="002408B7" w:rsidRDefault="0064757D">
      <w:pPr>
        <w:pStyle w:val="Zkladntext2"/>
        <w:overflowPunct/>
        <w:autoSpaceDE/>
        <w:autoSpaceDN/>
        <w:adjustRightInd/>
        <w:spacing w:line="240" w:lineRule="auto"/>
        <w:ind w:left="426" w:right="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Dotaci lze použít i na úhradu výdajů, které byly uskutečněny před datem vydání rozhodnutí a které prokazatelně souvisí s účelem dotace vymezeným tímto rozhodnutím.</w:t>
      </w:r>
    </w:p>
    <w:p w14:paraId="5608EA1B" w14:textId="3C42C2AB" w:rsidR="002408B7" w:rsidRDefault="0064757D">
      <w:pPr>
        <w:spacing w:after="12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Z poskytnuté dotace</w:t>
      </w:r>
      <w:r>
        <w:rPr>
          <w:rFonts w:ascii="Arial" w:hAnsi="Arial" w:cs="Arial"/>
          <w:b/>
          <w:bCs/>
        </w:rPr>
        <w:t xml:space="preserve"> lze </w:t>
      </w:r>
      <w:r w:rsidR="00BD0C67">
        <w:rPr>
          <w:rFonts w:ascii="Arial" w:hAnsi="Arial" w:cs="Arial"/>
          <w:b/>
          <w:bCs/>
        </w:rPr>
        <w:t xml:space="preserve">dále </w:t>
      </w:r>
      <w:r>
        <w:rPr>
          <w:rFonts w:ascii="Arial" w:hAnsi="Arial" w:cs="Arial"/>
          <w:b/>
          <w:bCs/>
        </w:rPr>
        <w:t>hradit:</w:t>
      </w:r>
    </w:p>
    <w:p w14:paraId="2F09F224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12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osobní náklady včetně odvodů</w:t>
      </w:r>
      <w:r>
        <w:rPr>
          <w:rFonts w:ascii="Arial" w:hAnsi="Arial" w:cs="Arial"/>
        </w:rPr>
        <w:t>, které jsou odměnou za realizaci schváleného projektu zaměstnancům a osobám činným na základě dohod o pracích konaných mimo pracovní poměr podle zákoníku práce (dohoda o provedení práce nebo dohoda o pracovní činnosti). Při stanovení konkrétní výše mzdy resp. odměny je příjemce dotace povinen přihlížet k úrovni mzdy za srovnatelnou činnost vykonávanou v rozpočtové sféře, v níž jsou aplikována nařízení vlády č. 531/2021 Sb., o platových poměrech zaměstnanců ve veřejných službách a správě, a zákon č. 262/2006 Sb., zákoník práce, ve znění pozdějších platných předpisů,</w:t>
      </w:r>
    </w:p>
    <w:p w14:paraId="2B9B0ADF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12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ostatní náklady, nezbytné pro realizaci projektu, </w:t>
      </w:r>
      <w:r>
        <w:rPr>
          <w:rFonts w:ascii="Arial" w:hAnsi="Arial" w:cs="Arial"/>
        </w:rPr>
        <w:t xml:space="preserve">které jsou účetně evidované a ověřitelné na základě originálních účetních dokladů (provozní náklady, nemateriální náklady (služby), materiální náklady), </w:t>
      </w:r>
    </w:p>
    <w:p w14:paraId="75FCE4E6" w14:textId="1F3FC949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členských příspěvků národním nebo evropským vládním i nevládním organizacím a institucím, a to maximálně do výše 20 % z celkových uznatelných nákladů projektu.</w:t>
      </w:r>
    </w:p>
    <w:p w14:paraId="6D19BB46" w14:textId="0A31BDCB" w:rsidR="00BE0FEE" w:rsidRDefault="00BE0FEE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spojené se zahraničními cestami,</w:t>
      </w:r>
    </w:p>
    <w:p w14:paraId="314AD470" w14:textId="417C2A96" w:rsidR="00BE0FEE" w:rsidRDefault="00BE0FEE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aktivity realizované mimo území ČR</w:t>
      </w:r>
      <w:r w:rsidR="007717FF">
        <w:rPr>
          <w:rFonts w:ascii="Arial" w:hAnsi="Arial" w:cs="Arial"/>
        </w:rPr>
        <w:t>.</w:t>
      </w:r>
    </w:p>
    <w:p w14:paraId="01E64E3C" w14:textId="77777777" w:rsidR="002408B7" w:rsidRDefault="002408B7">
      <w:pPr>
        <w:spacing w:after="120"/>
        <w:ind w:left="567"/>
        <w:jc w:val="both"/>
        <w:rPr>
          <w:rFonts w:ascii="Arial" w:hAnsi="Arial" w:cs="Arial"/>
        </w:rPr>
      </w:pPr>
    </w:p>
    <w:p w14:paraId="7B53FEE1" w14:textId="76509E46" w:rsidR="002408B7" w:rsidRDefault="0064757D" w:rsidP="00BD0C67">
      <w:pPr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Neuznatelné náklady: </w:t>
      </w:r>
    </w:p>
    <w:p w14:paraId="6065E896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spojené se samotným provozem NNO. </w:t>
      </w:r>
    </w:p>
    <w:p w14:paraId="4098B429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na aktivity, které jsou podpořeny z jiných zdrojů (Evropských strukturálních a investičních fondů apod.). </w:t>
      </w:r>
    </w:p>
    <w:p w14:paraId="422551BD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Výdaje na záruky, pojištění, bankovní poplatky, celní a správní poplatky, daně (vyjma DPH).</w:t>
      </w:r>
    </w:p>
    <w:p w14:paraId="2CBDAA70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Úroky z úvěrů, splátky půjček a úvěrů, leasingu.</w:t>
      </w:r>
    </w:p>
    <w:p w14:paraId="0340436A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Sankce a penále.</w:t>
      </w:r>
    </w:p>
    <w:p w14:paraId="5366D9E0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pořízení všeobecně používané technické vybavení (mobilní telefony, telefony, notebooky, PC, kopírky, tiskárny, faxy, programy výpočetní techniky atd.).</w:t>
      </w:r>
    </w:p>
    <w:p w14:paraId="2BC15233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pořízení všeobecně používané zařízení kanceláří, jednacích a vzdělávacích prostor, sálů (nábytek, zařízení a vybavení prostor atd.).</w:t>
      </w:r>
    </w:p>
    <w:p w14:paraId="327B479E" w14:textId="77777777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Odpisy.</w:t>
      </w:r>
    </w:p>
    <w:p w14:paraId="3E77511D" w14:textId="2439226F" w:rsidR="002408B7" w:rsidRDefault="0064757D">
      <w:pPr>
        <w:numPr>
          <w:ilvl w:val="0"/>
          <w:numId w:val="1"/>
        </w:numPr>
        <w:tabs>
          <w:tab w:val="clear" w:pos="211"/>
          <w:tab w:val="num" w:pos="567"/>
        </w:tabs>
        <w:spacing w:after="4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a zřízení webových stránek, zřízení internetu.</w:t>
      </w:r>
    </w:p>
    <w:p w14:paraId="3EEAD005" w14:textId="77777777" w:rsidR="00BB5D7F" w:rsidRDefault="00BB5D7F" w:rsidP="0070139F">
      <w:pPr>
        <w:spacing w:after="40"/>
        <w:ind w:left="567"/>
        <w:jc w:val="both"/>
        <w:rPr>
          <w:rFonts w:ascii="Arial" w:hAnsi="Arial" w:cs="Arial"/>
        </w:rPr>
      </w:pPr>
    </w:p>
    <w:p w14:paraId="0F9DF369" w14:textId="77777777" w:rsidR="002408B7" w:rsidRDefault="0064757D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Náklady, byť z věcného hlediska uznatelné, které nejsou řádně doložené, jsou vždy považovány za neuznatelné. </w:t>
      </w:r>
    </w:p>
    <w:p w14:paraId="08ACCAB8" w14:textId="658E1B6B" w:rsidR="005F1088" w:rsidRDefault="006475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Dotace se poskytuje jako neinvestiční. Předložený projekt může mít neinvestiční i investiční charakter, přičemž investiční náklady mohou být zahrnuty pouze v rámci vlastního podílu.</w:t>
      </w:r>
    </w:p>
    <w:p w14:paraId="7A22702D" w14:textId="77777777" w:rsidR="002408B7" w:rsidRDefault="0064757D">
      <w:pPr>
        <w:numPr>
          <w:ilvl w:val="0"/>
          <w:numId w:val="17"/>
        </w:numPr>
        <w:spacing w:before="240" w:after="120"/>
        <w:ind w:hanging="1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Výše dotace </w:t>
      </w:r>
    </w:p>
    <w:p w14:paraId="16365A52" w14:textId="77777777" w:rsidR="002408B7" w:rsidRDefault="006475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Dotace může být poskytnuta až </w:t>
      </w:r>
      <w:r>
        <w:rPr>
          <w:rFonts w:ascii="Arial" w:hAnsi="Arial" w:cs="Arial"/>
          <w:bCs/>
        </w:rPr>
        <w:t>do výše 70 % „celkových uznatelných nákladů schváleného projektu“.</w:t>
      </w:r>
      <w:r>
        <w:rPr>
          <w:rFonts w:ascii="Arial" w:hAnsi="Arial" w:cs="Arial"/>
        </w:rPr>
        <w:t xml:space="preserve"> Do 70 % podílu finančních prostředků ze státního rozpočtu na financování projektu se započítávají dotace poskytnuté dalšími ministerstvy, přičemž duplicitní úhrada stejných nákladů na projekt z různých zdrojů vč. zdrojů ze státního rozpočtu není dovolena. </w:t>
      </w:r>
    </w:p>
    <w:p w14:paraId="3E33CBE3" w14:textId="77777777" w:rsidR="002408B7" w:rsidRDefault="006475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prostředky, které </w:t>
      </w:r>
      <w:r>
        <w:rPr>
          <w:rFonts w:ascii="Arial" w:hAnsi="Arial" w:cs="Arial"/>
          <w:bCs/>
        </w:rPr>
        <w:t xml:space="preserve">nejsou zahrnuty v účetnictví </w:t>
      </w:r>
      <w:r>
        <w:rPr>
          <w:rFonts w:ascii="Arial" w:hAnsi="Arial" w:cs="Arial"/>
        </w:rPr>
        <w:t xml:space="preserve">žadatele a nejsou podloženy odpovídajícími doklady v souladu se zákonem o účetnictví, </w:t>
      </w:r>
      <w:r>
        <w:rPr>
          <w:rFonts w:ascii="Arial" w:hAnsi="Arial" w:cs="Arial"/>
          <w:bCs/>
        </w:rPr>
        <w:t>nesmí být zahrnuty</w:t>
      </w:r>
      <w:r>
        <w:rPr>
          <w:rFonts w:ascii="Arial" w:hAnsi="Arial" w:cs="Arial"/>
        </w:rPr>
        <w:t xml:space="preserve"> do prostředků určených pro spolufinancování projektu. </w:t>
      </w:r>
    </w:p>
    <w:p w14:paraId="6421A3F8" w14:textId="77777777" w:rsidR="002408B7" w:rsidRDefault="006475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odůvodněných případech může ústřední orgán rozhodnout o poskytnutí dotace až do výše 100 % rozpočtovaných nákladů projektu. </w:t>
      </w:r>
    </w:p>
    <w:p w14:paraId="799C5F7F" w14:textId="77777777" w:rsidR="002408B7" w:rsidRDefault="006475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Dolní limit dotace na jednu žádost činí 50 000,- Kč. </w:t>
      </w:r>
      <w:r>
        <w:rPr>
          <w:rFonts w:ascii="Arial" w:hAnsi="Arial" w:cs="Arial"/>
        </w:rPr>
        <w:t>(Minimální výše požadované dotace na jednu žádost.)</w:t>
      </w:r>
    </w:p>
    <w:p w14:paraId="7F087562" w14:textId="77777777" w:rsidR="002408B7" w:rsidRDefault="0064757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Souhrnné projekty (v rámci jedné žádosti o dotaci) zahrnující </w:t>
      </w:r>
      <w:r>
        <w:rPr>
          <w:rFonts w:ascii="Arial" w:hAnsi="Arial" w:cs="Arial"/>
          <w:b/>
          <w:bCs/>
        </w:rPr>
        <w:t xml:space="preserve">více ucelených programových částí </w:t>
      </w:r>
      <w:r>
        <w:rPr>
          <w:rFonts w:ascii="Arial" w:hAnsi="Arial" w:cs="Arial"/>
        </w:rPr>
        <w:t xml:space="preserve">(aktivit, činností, produktů atd.) </w:t>
      </w:r>
      <w:r>
        <w:rPr>
          <w:rFonts w:ascii="Arial" w:hAnsi="Arial" w:cs="Arial"/>
          <w:b/>
          <w:bCs/>
        </w:rPr>
        <w:t>musí být strukturovány</w:t>
      </w:r>
      <w:r>
        <w:rPr>
          <w:rFonts w:ascii="Arial" w:hAnsi="Arial" w:cs="Arial"/>
        </w:rPr>
        <w:t xml:space="preserve"> tak, že u každé aktivity, resp. činnosti musí být </w:t>
      </w:r>
      <w:r>
        <w:rPr>
          <w:rFonts w:ascii="Arial" w:hAnsi="Arial" w:cs="Arial"/>
          <w:b/>
          <w:bCs/>
        </w:rPr>
        <w:t>uveden samostatně její popis, cíle, konkrétní měřitelné a termínované výstupy a také vyčíslena odpovídající část z rozpočtových nákladů (celkových i hrazených z dotace a z jiných zdrojů)</w:t>
      </w:r>
      <w:r>
        <w:rPr>
          <w:rFonts w:ascii="Arial" w:hAnsi="Arial" w:cs="Arial"/>
        </w:rPr>
        <w:t>.</w:t>
      </w:r>
    </w:p>
    <w:p w14:paraId="028C2053" w14:textId="77777777" w:rsidR="002408B7" w:rsidRDefault="0064757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dotace </w:t>
      </w:r>
      <w:r>
        <w:rPr>
          <w:rFonts w:ascii="Arial" w:hAnsi="Arial" w:cs="Arial"/>
          <w:b/>
          <w:bCs/>
        </w:rPr>
        <w:t>nesmí z dotačních prostředků poskytovat finanční prostředky jiným právnickým nebo fyzickým osobám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pokud se nejedná o úhradu nákladů, spojených s realizací projektovaných činností</w:t>
      </w:r>
      <w:r>
        <w:rPr>
          <w:rFonts w:ascii="Arial" w:hAnsi="Arial" w:cs="Arial"/>
        </w:rPr>
        <w:t xml:space="preserve">, na které byly prostředky použity. Zároveň odpovídá za vyloučení střetu zájmů. Dotaci nelze použít k financování podnikatelských aktivit. </w:t>
      </w:r>
    </w:p>
    <w:p w14:paraId="54C0BD09" w14:textId="6962D096" w:rsidR="002408B7" w:rsidRDefault="0064757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Přidělená dotace může být použita jen</w:t>
      </w:r>
      <w:r>
        <w:rPr>
          <w:rFonts w:ascii="Arial" w:hAnsi="Arial" w:cs="Arial"/>
          <w:b/>
          <w:bCs/>
        </w:rPr>
        <w:t xml:space="preserve"> na účely</w:t>
      </w:r>
      <w:r>
        <w:rPr>
          <w:rFonts w:ascii="Arial" w:hAnsi="Arial" w:cs="Arial"/>
        </w:rPr>
        <w:t xml:space="preserve"> stanovené v Rozhodnutí o poskytnutí dotace a na úhradu </w:t>
      </w:r>
      <w:r>
        <w:rPr>
          <w:rFonts w:ascii="Arial" w:hAnsi="Arial" w:cs="Arial"/>
          <w:b/>
          <w:bCs/>
        </w:rPr>
        <w:t>nezbytně nutných nákladů</w:t>
      </w:r>
      <w:r>
        <w:rPr>
          <w:rFonts w:ascii="Arial" w:hAnsi="Arial" w:cs="Arial"/>
        </w:rPr>
        <w:t xml:space="preserve"> týkajících se projektu</w:t>
      </w:r>
      <w:r w:rsidR="006C38E2">
        <w:rPr>
          <w:rFonts w:ascii="Arial" w:hAnsi="Arial" w:cs="Arial"/>
        </w:rPr>
        <w:t xml:space="preserve"> dle Zásad vlády pro poskytování dotací ze státního rozpočtu neziskovým organizacím ústředními orgány státní správy</w:t>
      </w:r>
    </w:p>
    <w:p w14:paraId="0120D48C" w14:textId="77777777" w:rsidR="002408B7" w:rsidRDefault="0064757D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Dotace je poskytována </w:t>
      </w:r>
      <w:r>
        <w:rPr>
          <w:rFonts w:ascii="Arial" w:hAnsi="Arial" w:cs="Arial"/>
          <w:b/>
          <w:bCs/>
        </w:rPr>
        <w:t>převodem z účtu</w:t>
      </w:r>
      <w:r>
        <w:rPr>
          <w:rFonts w:ascii="Arial" w:hAnsi="Arial" w:cs="Arial"/>
        </w:rPr>
        <w:t xml:space="preserve"> poskytovatele dotace ve prospěch bankovního spojení příjemce.</w:t>
      </w:r>
      <w:r>
        <w:rPr>
          <w:rFonts w:ascii="Arial" w:hAnsi="Arial" w:cs="Arial"/>
          <w:bCs/>
        </w:rPr>
        <w:t xml:space="preserve"> </w:t>
      </w:r>
    </w:p>
    <w:p w14:paraId="41B0BC33" w14:textId="66B1FF6A" w:rsidR="002408B7" w:rsidRDefault="0064757D">
      <w:pPr>
        <w:numPr>
          <w:ilvl w:val="0"/>
          <w:numId w:val="16"/>
        </w:numPr>
        <w:tabs>
          <w:tab w:val="left" w:pos="284"/>
        </w:tabs>
        <w:spacing w:before="240"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Základní pravidla povinné publicity </w:t>
      </w:r>
    </w:p>
    <w:p w14:paraId="3430CB91" w14:textId="77777777" w:rsidR="002408B7" w:rsidRDefault="0064757D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rámci realizace projektu je příjemce povinen informovat veřejnost o podpoře ministerstva alespoň jedním z těchto způsobů: </w:t>
      </w:r>
    </w:p>
    <w:p w14:paraId="4EFE47C0" w14:textId="77777777" w:rsidR="002408B7" w:rsidRDefault="0064757D">
      <w:pPr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Zveřejní na své webové stránce stručný popis projektu, včetně jeho cílů a výsledků, a zdůrazní, že je na daný projekt poskytována finanční podpora ze státního rozpočtu prostřednictvím MMR. Příjemce dotace musí na svých webových stránkách publikovat po dobu realizace projektu logo MMR a prohlášení o tom, že je projekt podporován MMR.</w:t>
      </w:r>
    </w:p>
    <w:p w14:paraId="0C1374EF" w14:textId="77777777" w:rsidR="002408B7" w:rsidRDefault="0064757D">
      <w:pPr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dokument týkající se realizace projektu, jenž je použit pro informování veřejnosti nebo cílové skupiny o podpořeném projektu nebo jeho části, včetně prezenčních listin, musí obsahovat logo MMR a prohlášení o tom, že je projekt podporován MMR.</w:t>
      </w:r>
    </w:p>
    <w:p w14:paraId="6179A2AE" w14:textId="77777777" w:rsidR="002408B7" w:rsidRDefault="0064757D">
      <w:pPr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Logo MMR musí být zároveň umístěno na všech výstupech souvisejících s realizací projektu (propagačních materiálech a jiných tiskovinách) s uvedením textu o spolufinancování ze zdrojů MMR: </w:t>
      </w:r>
    </w:p>
    <w:p w14:paraId="1262CD59" w14:textId="77777777" w:rsidR="002408B7" w:rsidRDefault="0064757D">
      <w:pPr>
        <w:keepNext/>
        <w:numPr>
          <w:ilvl w:val="0"/>
          <w:numId w:val="16"/>
        </w:numPr>
        <w:spacing w:before="120"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Povinné přílohy žádosti </w:t>
      </w:r>
    </w:p>
    <w:p w14:paraId="736C8487" w14:textId="4DD3F9BE" w:rsidR="002408B7" w:rsidRDefault="0064757D">
      <w:pPr>
        <w:keepNext/>
        <w:numPr>
          <w:ilvl w:val="0"/>
          <w:numId w:val="39"/>
        </w:numPr>
        <w:spacing w:before="120" w:after="12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Doklady </w:t>
      </w:r>
      <w:r w:rsidRPr="00691446">
        <w:rPr>
          <w:rFonts w:ascii="Arial" w:hAnsi="Arial" w:cs="Arial"/>
          <w:lang w:val="de-DE"/>
        </w:rPr>
        <w:t xml:space="preserve">{forma </w:t>
      </w:r>
      <w:r>
        <w:rPr>
          <w:rFonts w:ascii="Arial" w:hAnsi="Arial" w:cs="Arial"/>
        </w:rPr>
        <w:t xml:space="preserve">prosté kopie: a), b), c); forma originálu d), e), f, </w:t>
      </w:r>
      <w:r w:rsidR="004E76A3">
        <w:rPr>
          <w:rFonts w:ascii="Arial" w:hAnsi="Arial" w:cs="Arial"/>
        </w:rPr>
        <w:t>g</w:t>
      </w:r>
      <w:r>
        <w:rPr>
          <w:rFonts w:ascii="Arial" w:hAnsi="Arial" w:cs="Arial"/>
        </w:rPr>
        <w:t>)}</w:t>
      </w:r>
      <w:r>
        <w:rPr>
          <w:rFonts w:ascii="Arial" w:hAnsi="Arial" w:cs="Arial"/>
          <w:b/>
        </w:rPr>
        <w:t>:</w:t>
      </w:r>
    </w:p>
    <w:p w14:paraId="25252DE6" w14:textId="77777777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60" w:line="24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registrace žadatele (např. stanovy spolku registrované u Ministerstva vnitra, výpis z rejstříku obecně-prospěšné společnosti u rejstříkového soudu apod.),</w:t>
      </w:r>
    </w:p>
    <w:p w14:paraId="1E5E97F7" w14:textId="77777777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60" w:line="24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registraci u příslušného finančního úřadu,</w:t>
      </w:r>
    </w:p>
    <w:p w14:paraId="2DF8962E" w14:textId="62D02764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60" w:line="24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zprávu o činnosti a o výsledcích hospodaření za rok 202</w:t>
      </w:r>
      <w:r w:rsidR="00C0365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schválenou nejvyšším orgánem žadatele (např. členskou schůzí, valnou hromadou apod.), včetně řádné roční účetní závěrky,</w:t>
      </w:r>
    </w:p>
    <w:p w14:paraId="34A62613" w14:textId="22A444F9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60" w:line="24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doklad (případně čestné prohlášení volnou formou) o způsobu, jakým žadatel vypořádal své </w:t>
      </w:r>
      <w:r w:rsidR="00586536">
        <w:rPr>
          <w:rFonts w:ascii="Arial" w:hAnsi="Arial" w:cs="Arial"/>
          <w:sz w:val="20"/>
        </w:rPr>
        <w:t xml:space="preserve">splatné </w:t>
      </w:r>
      <w:r>
        <w:rPr>
          <w:rFonts w:ascii="Arial" w:hAnsi="Arial" w:cs="Arial"/>
          <w:sz w:val="20"/>
        </w:rPr>
        <w:t xml:space="preserve">závazky se státním rozpočtem za rok 2021, </w:t>
      </w:r>
    </w:p>
    <w:p w14:paraId="650F65B1" w14:textId="77777777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60" w:line="24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čestné prohlášení žadatele (volnou formou) o tom, že z dotace nebudou hrazeny shodné náklady téhož projektu z jiných zdrojů včetně zdrojů státního rozpočtu,</w:t>
      </w:r>
    </w:p>
    <w:p w14:paraId="1ABD1962" w14:textId="77777777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čestné prohlášení (volnou formou), že žadatel disponuje finančními prostředky na spolufinancování žádosti,</w:t>
      </w:r>
    </w:p>
    <w:p w14:paraId="4A0C161D" w14:textId="72A96F37" w:rsidR="002408B7" w:rsidRDefault="0064757D">
      <w:pPr>
        <w:pStyle w:val="Zkladntextodsazen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úplný či částečný výpis z evidence skutečných majitelů, který není starší</w:t>
      </w:r>
      <w:r w:rsidR="00D16FAD">
        <w:rPr>
          <w:rFonts w:ascii="Arial" w:hAnsi="Arial" w:cs="Arial"/>
          <w:sz w:val="20"/>
        </w:rPr>
        <w:t xml:space="preserve"> více než</w:t>
      </w:r>
      <w:r>
        <w:rPr>
          <w:rFonts w:ascii="Arial" w:hAnsi="Arial" w:cs="Arial"/>
          <w:sz w:val="20"/>
        </w:rPr>
        <w:t xml:space="preserve"> 90 dní od data podání žádosti (</w:t>
      </w:r>
      <w:hyperlink r:id="rId10" w:history="1">
        <w:r>
          <w:rPr>
            <w:rStyle w:val="Hypertextovodkaz"/>
            <w:rFonts w:ascii="Arial" w:hAnsi="Arial" w:cs="Arial"/>
            <w:sz w:val="20"/>
          </w:rPr>
          <w:t>https://www.mfcr.cz/cs/verejny-sektor/uzemni-rozpocty/metodicka-podpora/2022/dokladani-uplneho-vypisu-z-evidence-skut-44275</w:t>
        </w:r>
      </w:hyperlink>
      <w:r>
        <w:rPr>
          <w:rFonts w:ascii="Arial" w:hAnsi="Arial" w:cs="Arial"/>
          <w:color w:val="1F497D"/>
          <w:sz w:val="20"/>
        </w:rPr>
        <w:t>).</w:t>
      </w:r>
    </w:p>
    <w:p w14:paraId="4CB9279B" w14:textId="77777777" w:rsidR="002408B7" w:rsidRDefault="002408B7">
      <w:pPr>
        <w:pStyle w:val="Zkladntextodsazen"/>
        <w:tabs>
          <w:tab w:val="left" w:pos="567"/>
        </w:tabs>
        <w:spacing w:after="120" w:line="240" w:lineRule="auto"/>
        <w:ind w:left="567" w:firstLine="0"/>
        <w:rPr>
          <w:rFonts w:ascii="Arial" w:hAnsi="Arial" w:cs="Arial"/>
          <w:b/>
          <w:sz w:val="20"/>
        </w:rPr>
      </w:pPr>
    </w:p>
    <w:p w14:paraId="763153AD" w14:textId="77777777" w:rsidR="002408B7" w:rsidRDefault="0064757D">
      <w:pPr>
        <w:keepNext/>
        <w:numPr>
          <w:ilvl w:val="0"/>
          <w:numId w:val="39"/>
        </w:numPr>
        <w:spacing w:before="120" w:after="120"/>
        <w:ind w:left="284" w:hanging="284"/>
        <w:jc w:val="both"/>
      </w:pPr>
      <w:r>
        <w:rPr>
          <w:rFonts w:ascii="Arial" w:hAnsi="Arial" w:cs="Arial"/>
          <w:b/>
        </w:rPr>
        <w:lastRenderedPageBreak/>
        <w:t>Projekt, na který NNO žádá o dotaci</w:t>
      </w:r>
      <w:r>
        <w:rPr>
          <w:rFonts w:ascii="Arial" w:hAnsi="Arial" w:cs="Arial"/>
        </w:rPr>
        <w:t xml:space="preserve"> (dle stanovené struktury/osnovy)</w:t>
      </w:r>
      <w:r>
        <w:rPr>
          <w:rFonts w:ascii="Arial" w:hAnsi="Arial" w:cs="Arial"/>
          <w:b/>
        </w:rPr>
        <w:t>:</w:t>
      </w:r>
    </w:p>
    <w:p w14:paraId="5D64030A" w14:textId="77777777" w:rsidR="002408B7" w:rsidRPr="00BD0C67" w:rsidRDefault="0064757D" w:rsidP="00BD0C67">
      <w:pPr>
        <w:pStyle w:val="Odstavecseseznamem"/>
        <w:keepNext/>
        <w:numPr>
          <w:ilvl w:val="0"/>
          <w:numId w:val="48"/>
        </w:numPr>
        <w:spacing w:before="120" w:after="120"/>
        <w:jc w:val="both"/>
        <w:rPr>
          <w:rFonts w:ascii="Arial" w:hAnsi="Arial" w:cs="Arial"/>
        </w:rPr>
      </w:pPr>
      <w:r w:rsidRPr="00BD0C67">
        <w:rPr>
          <w:rFonts w:ascii="Arial" w:hAnsi="Arial" w:cs="Arial"/>
          <w:b/>
        </w:rPr>
        <w:t>Předmět činnosti organizace</w:t>
      </w:r>
    </w:p>
    <w:p w14:paraId="60D585C0" w14:textId="77777777" w:rsidR="002408B7" w:rsidRDefault="0064757D">
      <w:pPr>
        <w:numPr>
          <w:ilvl w:val="0"/>
          <w:numId w:val="8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Popis předmětu činnosti organizace.</w:t>
      </w:r>
    </w:p>
    <w:p w14:paraId="7A78FEE6" w14:textId="77777777" w:rsidR="002408B7" w:rsidRDefault="0064757D">
      <w:pPr>
        <w:numPr>
          <w:ilvl w:val="0"/>
          <w:numId w:val="8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Popis vazby projektu na činnost organizace (specifikace konkrétní činnosti např. dle stanov).</w:t>
      </w:r>
    </w:p>
    <w:p w14:paraId="0ED7A9D4" w14:textId="77777777" w:rsidR="002408B7" w:rsidRDefault="0064757D">
      <w:pPr>
        <w:numPr>
          <w:ilvl w:val="0"/>
          <w:numId w:val="8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Dotace organizace za rok 2021 (tabulka: poskytovatel, předmět a výše dotace, kterou organizace obdržela v roce 2021).</w:t>
      </w:r>
    </w:p>
    <w:p w14:paraId="266C446E" w14:textId="55F6AACE" w:rsidR="00BD0C67" w:rsidRPr="00BA3AD0" w:rsidRDefault="0064757D" w:rsidP="00B56446">
      <w:pPr>
        <w:numPr>
          <w:ilvl w:val="0"/>
          <w:numId w:val="8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Informace o spolupráci s dalšími organizacemi ve vztahu k projektu (popis spolupráce, případně název dokumentu o spolupráci, pokud existuje).</w:t>
      </w:r>
    </w:p>
    <w:p w14:paraId="0CE79D27" w14:textId="19066C0F" w:rsidR="002408B7" w:rsidRDefault="0064757D" w:rsidP="00BD0C67">
      <w:pPr>
        <w:pStyle w:val="Odstavecseseznamem"/>
        <w:keepNext/>
        <w:numPr>
          <w:ilvl w:val="0"/>
          <w:numId w:val="4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Projekt, na který nezisková organizace žádá dotaci </w:t>
      </w:r>
      <w:r>
        <w:rPr>
          <w:rFonts w:ascii="Arial" w:hAnsi="Arial" w:cs="Arial"/>
        </w:rPr>
        <w:t>(projektový záměr)</w:t>
      </w:r>
    </w:p>
    <w:p w14:paraId="2C849459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 projektu (definice cíle, kterého má být prostřednictvím realizace projektu dosaženo). </w:t>
      </w:r>
    </w:p>
    <w:p w14:paraId="753BE71F" w14:textId="17DAD9B1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Potřebnost projektu (bude uvedena tzv. nulová alternativa, tj. popis negativního stavu/problému/rizika, který bude přetrvávat, resp. nastane, pokud projektový záměr nebude podpořen). </w:t>
      </w:r>
    </w:p>
    <w:p w14:paraId="161E8830" w14:textId="0DA532D8" w:rsidR="002408B7" w:rsidRPr="005721AD" w:rsidRDefault="005721AD" w:rsidP="005721A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 w:rsidRPr="005721AD">
        <w:rPr>
          <w:rFonts w:ascii="Arial" w:hAnsi="Arial" w:cs="Arial"/>
        </w:rPr>
        <w:t xml:space="preserve"> </w:t>
      </w:r>
      <w:r w:rsidR="0064757D" w:rsidRPr="005721AD">
        <w:rPr>
          <w:rFonts w:ascii="Arial" w:hAnsi="Arial" w:cs="Arial"/>
        </w:rPr>
        <w:t>Popis projektu, resp. aktivity projektu:</w:t>
      </w:r>
    </w:p>
    <w:p w14:paraId="2C5B554F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podrobný seznam konkrétních aktivit (činností), které budou v rámci realizace projektu provedeny;</w:t>
      </w:r>
    </w:p>
    <w:p w14:paraId="46E47032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 každé aktivity bude uvedeno zdůvodnění, proč bude aktivita realizována, tj., jak přispěje k dosažení cíle projektu a proč je k dosažení cíle projektu její realizace nezbytná;</w:t>
      </w:r>
    </w:p>
    <w:p w14:paraId="44B1065B" w14:textId="38AE09EC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 každé aktivity bude uvedena cílová skupina, tj. skupina osob, která bude mít z</w:t>
      </w:r>
      <w:r w:rsidR="00BD0C67">
        <w:rPr>
          <w:rFonts w:ascii="Arial" w:hAnsi="Arial" w:cs="Arial"/>
        </w:rPr>
        <w:t> </w:t>
      </w:r>
      <w:r>
        <w:rPr>
          <w:rFonts w:ascii="Arial" w:hAnsi="Arial" w:cs="Arial"/>
        </w:rPr>
        <w:t>realizace aktivity nějaký prospěch;</w:t>
      </w:r>
    </w:p>
    <w:p w14:paraId="564DA2E1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ke každé aktivitě bude definován minimálně jeden kvantifikovatelný výstupový indikátor (např. k aktivitě "školení zástupců obcí" indikátor "počet proškolených zástupců obcí"; pro další příklady výstupových indikátorů viz KNNO 2021-2022);</w:t>
      </w:r>
    </w:p>
    <w:p w14:paraId="7B6E7910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ke každému výstupovému indikátoru bude definována cílová hodnota výstupu/výstupů, která bude dosažena díky realizaci projektu (příjemce dotace je zodpovědný za sledování a evidenci dosažených výstupů; dosažené hodnoty výstupů budou uvedeny v závěrečném vyúčtování);</w:t>
      </w:r>
    </w:p>
    <w:p w14:paraId="58274728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nastavení každé cílové hodnoty bude odůvodněno;</w:t>
      </w:r>
    </w:p>
    <w:p w14:paraId="75E1BC8B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 každého výstupového indikátoru budou odhadnuty a uvedeny jednotkové náklady (náklady na dosažení jednotky výstupu);</w:t>
      </w:r>
    </w:p>
    <w:p w14:paraId="700B19BA" w14:textId="77777777" w:rsidR="002408B7" w:rsidRDefault="0064757D">
      <w:pPr>
        <w:numPr>
          <w:ilvl w:val="0"/>
          <w:numId w:val="31"/>
        </w:numPr>
        <w:tabs>
          <w:tab w:val="left" w:pos="1134"/>
          <w:tab w:val="left" w:pos="1418"/>
        </w:tabs>
        <w:spacing w:after="6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každé aktivity bude uveden její rozpočet, který bude součinem jednotkových nákladů za výstup a cílové hodnoty indikátoru.  </w:t>
      </w:r>
    </w:p>
    <w:p w14:paraId="74E6F0E0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Vazba projektu na národní strategické dokumenty v dané oblasti, včetně uvedení konkrétního cíle nebo priority národního strategického dokumentu, na který je daný projekt navázán. </w:t>
      </w:r>
    </w:p>
    <w:p w14:paraId="5AB3A866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Vazba projektu na KNNO 2021-2022 – bude uvedeno, do které oblasti podpory NNO ze strany MMR projekt spadá, přičemž bude charakterizován přínos projektu k pokroku/zlepšení situace v příslušné oblasti podpory. </w:t>
      </w:r>
    </w:p>
    <w:p w14:paraId="395047F7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Personální zajištění projektu (definování pracovně-právního vztahu včetně jeho délky a výše odměny, popis náplně práce ve vztahu k projektu).</w:t>
      </w:r>
    </w:p>
    <w:p w14:paraId="57E5B2AF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Rozpočet projektu (podrobně členěný na jednotlivé položky; rozpočet projektu vychází z rozpočtu jednotlivých aktivit projektu a odměn na personálním zajištění projektu).</w:t>
      </w:r>
    </w:p>
    <w:p w14:paraId="2204C941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Financování projektu (předpokládané zdroje a jejich výše): </w:t>
      </w:r>
    </w:p>
    <w:p w14:paraId="2CA988BF" w14:textId="77777777" w:rsidR="002408B7" w:rsidRDefault="0064757D" w:rsidP="00B56446">
      <w:pPr>
        <w:numPr>
          <w:ilvl w:val="0"/>
          <w:numId w:val="7"/>
        </w:numPr>
        <w:spacing w:after="6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Předpokládané zdroje financování a jejich výše. </w:t>
      </w:r>
    </w:p>
    <w:p w14:paraId="7EEFE1D2" w14:textId="77777777" w:rsidR="002408B7" w:rsidRDefault="0064757D">
      <w:pPr>
        <w:numPr>
          <w:ilvl w:val="0"/>
          <w:numId w:val="7"/>
        </w:numPr>
        <w:spacing w:after="6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předmětem projektu je další etapa, pak žadatel uvede informace o financování (zdroje a finanční výše) předchozí etapy či etap.</w:t>
      </w:r>
    </w:p>
    <w:p w14:paraId="53B73EB5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Způsob, resp. forma propagace projektu s uvedením publicity MMR.</w:t>
      </w:r>
    </w:p>
    <w:p w14:paraId="37ED84B0" w14:textId="77777777" w:rsidR="002408B7" w:rsidRDefault="0064757D">
      <w:pPr>
        <w:numPr>
          <w:ilvl w:val="0"/>
          <w:numId w:val="45"/>
        </w:numPr>
        <w:tabs>
          <w:tab w:val="left" w:pos="567"/>
        </w:tabs>
        <w:spacing w:after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Budoucí využití výstupů projektu, popis navazujících aktivit.</w:t>
      </w:r>
    </w:p>
    <w:sectPr w:rsidR="002408B7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1999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0E52B" w16cex:dateUtc="2022-07-19T06:09:00Z"/>
  <w16cex:commentExtensible w16cex:durableId="2680F770" w16cex:dateUtc="2022-07-19T07:27:00Z"/>
  <w16cex:commentExtensible w16cex:durableId="26802015" w16cex:dateUtc="2022-07-18T16:08:00Z"/>
  <w16cex:commentExtensible w16cex:durableId="2680E4D1" w16cex:dateUtc="2022-07-19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F630C" w16cid:durableId="2680E4AC"/>
  <w16cid:commentId w16cid:paraId="40FC9F33" w16cid:durableId="2680E52B"/>
  <w16cid:commentId w16cid:paraId="32332A83" w16cid:durableId="2680F65A"/>
  <w16cid:commentId w16cid:paraId="66586072" w16cid:durableId="2680F770"/>
  <w16cid:commentId w16cid:paraId="6C0FE2D3" w16cid:durableId="26802015"/>
  <w16cid:commentId w16cid:paraId="4FEFF224" w16cid:durableId="2680E4AE"/>
  <w16cid:commentId w16cid:paraId="0541FCC5" w16cid:durableId="2680E4D1"/>
  <w16cid:commentId w16cid:paraId="14702222" w16cid:durableId="2680F65E"/>
  <w16cid:commentId w16cid:paraId="2308E59B" w16cid:durableId="267BB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DCE9" w14:textId="77777777" w:rsidR="00AB2553" w:rsidRDefault="00AB2553">
      <w:r>
        <w:separator/>
      </w:r>
    </w:p>
  </w:endnote>
  <w:endnote w:type="continuationSeparator" w:id="0">
    <w:p w14:paraId="7E418FCA" w14:textId="77777777" w:rsidR="00AB2553" w:rsidRDefault="00AB2553">
      <w:r>
        <w:continuationSeparator/>
      </w:r>
    </w:p>
  </w:endnote>
  <w:endnote w:type="continuationNotice" w:id="1">
    <w:p w14:paraId="1D28DB35" w14:textId="77777777" w:rsidR="00AB2553" w:rsidRDefault="00AB2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74595" w14:textId="0DD25492" w:rsidR="002408B7" w:rsidRDefault="006475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625A" w:rsidRPr="008A625A">
      <w:rPr>
        <w:noProof/>
        <w:lang w:val="cs-CZ"/>
      </w:rPr>
      <w:t>4</w:t>
    </w:r>
    <w:r>
      <w:fldChar w:fldCharType="end"/>
    </w:r>
  </w:p>
  <w:p w14:paraId="601541BD" w14:textId="77777777" w:rsidR="002408B7" w:rsidRDefault="002408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0C23" w14:textId="662623CD" w:rsidR="002408B7" w:rsidRDefault="006475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625A" w:rsidRPr="008A625A">
      <w:rPr>
        <w:noProof/>
        <w:lang w:val="cs-CZ"/>
      </w:rPr>
      <w:t>1</w:t>
    </w:r>
    <w:r>
      <w:fldChar w:fldCharType="end"/>
    </w:r>
  </w:p>
  <w:p w14:paraId="71E7742D" w14:textId="77777777" w:rsidR="002408B7" w:rsidRDefault="002408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1510" w14:textId="77777777" w:rsidR="00AB2553" w:rsidRDefault="00AB2553">
      <w:r>
        <w:separator/>
      </w:r>
    </w:p>
  </w:footnote>
  <w:footnote w:type="continuationSeparator" w:id="0">
    <w:p w14:paraId="1F447468" w14:textId="77777777" w:rsidR="00AB2553" w:rsidRDefault="00AB2553">
      <w:r>
        <w:continuationSeparator/>
      </w:r>
    </w:p>
  </w:footnote>
  <w:footnote w:type="continuationNotice" w:id="1">
    <w:p w14:paraId="4B4E1ADC" w14:textId="77777777" w:rsidR="00AB2553" w:rsidRDefault="00AB2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514A" w14:textId="77777777" w:rsidR="002408B7" w:rsidRDefault="0064757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1" behindDoc="0" locked="0" layoutInCell="1" allowOverlap="0" wp14:anchorId="0B50C13C" wp14:editId="3411CDAD">
          <wp:simplePos x="0" y="0"/>
          <wp:positionH relativeFrom="column">
            <wp:posOffset>14605</wp:posOffset>
          </wp:positionH>
          <wp:positionV relativeFrom="paragraph">
            <wp:posOffset>36195</wp:posOffset>
          </wp:positionV>
          <wp:extent cx="2159635" cy="4679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cs="Arial"/>
        <w:szCs w:val="20"/>
        <w:lang w:val="cs-CZ"/>
      </w:rPr>
      <w:t>Příloha č. 2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638C" w14:textId="0B9C1F9A" w:rsidR="002408B7" w:rsidRDefault="0064757D">
    <w:pPr>
      <w:pStyle w:val="Zhlav"/>
      <w:spacing w:before="600"/>
      <w:jc w:val="right"/>
      <w:rPr>
        <w:rFonts w:cs="Arial"/>
        <w:szCs w:val="20"/>
        <w:lang w:val="cs-CZ"/>
      </w:rPr>
    </w:pPr>
    <w:r>
      <w:rPr>
        <w:rFonts w:cs="Arial"/>
        <w:noProof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0" wp14:anchorId="2A0C2623" wp14:editId="2F1FE0B6">
          <wp:simplePos x="0" y="0"/>
          <wp:positionH relativeFrom="column">
            <wp:posOffset>-24130</wp:posOffset>
          </wp:positionH>
          <wp:positionV relativeFrom="page">
            <wp:posOffset>500380</wp:posOffset>
          </wp:positionV>
          <wp:extent cx="2159635" cy="4679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  <w:lang w:val="cs-CZ"/>
      </w:rPr>
      <w:t xml:space="preserve">Příloha č. </w:t>
    </w:r>
    <w:r w:rsidR="008A625A">
      <w:rPr>
        <w:rFonts w:cs="Arial"/>
        <w:szCs w:val="20"/>
        <w:lang w:val="cs-CZ"/>
      </w:rPr>
      <w:t>2</w:t>
    </w:r>
    <w:r w:rsidR="000257C4">
      <w:rPr>
        <w:rFonts w:cs="Arial"/>
        <w:szCs w:val="20"/>
        <w:lang w:val="cs-CZ"/>
      </w:rPr>
      <w:t xml:space="preserve"> – 2.</w:t>
    </w:r>
    <w:r>
      <w:rPr>
        <w:rFonts w:cs="Arial"/>
        <w:szCs w:val="20"/>
        <w:lang w:val="cs-CZ"/>
      </w:rPr>
      <w:t xml:space="preserve"> výzvy  </w:t>
    </w:r>
  </w:p>
  <w:p w14:paraId="5038CDF2" w14:textId="77777777" w:rsidR="002408B7" w:rsidRDefault="002408B7">
    <w:pPr>
      <w:pStyle w:val="Zhlav"/>
      <w:spacing w:after="120"/>
      <w:jc w:val="right"/>
      <w:rPr>
        <w:rFonts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415"/>
    <w:multiLevelType w:val="hybridMultilevel"/>
    <w:tmpl w:val="30384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4725"/>
    <w:multiLevelType w:val="multilevel"/>
    <w:tmpl w:val="710EAD2A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DF4AC2"/>
    <w:multiLevelType w:val="hybridMultilevel"/>
    <w:tmpl w:val="B7060F86"/>
    <w:lvl w:ilvl="0" w:tplc="9B86E3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43A93"/>
    <w:multiLevelType w:val="multilevel"/>
    <w:tmpl w:val="969673CE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8423D9"/>
    <w:multiLevelType w:val="hybridMultilevel"/>
    <w:tmpl w:val="A1141096"/>
    <w:lvl w:ilvl="0" w:tplc="0FD81582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4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45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3267A0"/>
    <w:multiLevelType w:val="hybridMultilevel"/>
    <w:tmpl w:val="E614280E"/>
    <w:lvl w:ilvl="0" w:tplc="0854DB6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E95C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6B6B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A92DBC"/>
    <w:multiLevelType w:val="multilevel"/>
    <w:tmpl w:val="404C30D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364114B"/>
    <w:multiLevelType w:val="multilevel"/>
    <w:tmpl w:val="969673CE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3D1DEE"/>
    <w:multiLevelType w:val="hybridMultilevel"/>
    <w:tmpl w:val="24CCF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06FEB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1D9E6600"/>
    <w:multiLevelType w:val="hybridMultilevel"/>
    <w:tmpl w:val="C234FB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17972"/>
    <w:multiLevelType w:val="hybridMultilevel"/>
    <w:tmpl w:val="A4D06B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C0FAD"/>
    <w:multiLevelType w:val="hybridMultilevel"/>
    <w:tmpl w:val="0A804B7C"/>
    <w:lvl w:ilvl="0" w:tplc="A41090A4">
      <w:start w:val="1"/>
      <w:numFmt w:val="decimal"/>
      <w:lvlText w:val="11.%1.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D23A0"/>
    <w:multiLevelType w:val="hybridMultilevel"/>
    <w:tmpl w:val="16CE2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C1300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2A8729B1"/>
    <w:multiLevelType w:val="hybridMultilevel"/>
    <w:tmpl w:val="85ACAE7C"/>
    <w:lvl w:ilvl="0" w:tplc="AA5C2F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73C5D"/>
    <w:multiLevelType w:val="hybridMultilevel"/>
    <w:tmpl w:val="DFC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51F05"/>
    <w:multiLevelType w:val="hybridMultilevel"/>
    <w:tmpl w:val="666234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B01FD7"/>
    <w:multiLevelType w:val="hybridMultilevel"/>
    <w:tmpl w:val="510819C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E851E9"/>
    <w:multiLevelType w:val="hybridMultilevel"/>
    <w:tmpl w:val="A830D9E2"/>
    <w:lvl w:ilvl="0" w:tplc="050CE82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64811"/>
    <w:multiLevelType w:val="multilevel"/>
    <w:tmpl w:val="3676BD9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4184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BA963C4"/>
    <w:multiLevelType w:val="hybridMultilevel"/>
    <w:tmpl w:val="B4709C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C4F0F"/>
    <w:multiLevelType w:val="hybridMultilevel"/>
    <w:tmpl w:val="5AFC0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D76F3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FE97628"/>
    <w:multiLevelType w:val="hybridMultilevel"/>
    <w:tmpl w:val="6838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45DB2"/>
    <w:multiLevelType w:val="hybridMultilevel"/>
    <w:tmpl w:val="839A133C"/>
    <w:lvl w:ilvl="0" w:tplc="26D879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07AF8"/>
    <w:multiLevelType w:val="hybridMultilevel"/>
    <w:tmpl w:val="B2A4C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4850"/>
    <w:multiLevelType w:val="hybridMultilevel"/>
    <w:tmpl w:val="00563CC8"/>
    <w:lvl w:ilvl="0" w:tplc="AA5C2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73A1B"/>
    <w:multiLevelType w:val="hybridMultilevel"/>
    <w:tmpl w:val="CD8CF654"/>
    <w:lvl w:ilvl="0" w:tplc="CB2622EE">
      <w:start w:val="1"/>
      <w:numFmt w:val="bullet"/>
      <w:lvlText w:val=""/>
      <w:lvlJc w:val="left"/>
      <w:pPr>
        <w:tabs>
          <w:tab w:val="num" w:pos="211"/>
        </w:tabs>
        <w:ind w:left="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931"/>
        </w:tabs>
        <w:ind w:left="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1"/>
        </w:tabs>
        <w:ind w:left="1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1"/>
        </w:tabs>
        <w:ind w:left="2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1"/>
        </w:tabs>
        <w:ind w:left="3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1"/>
        </w:tabs>
        <w:ind w:left="3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1"/>
        </w:tabs>
        <w:ind w:left="4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1"/>
        </w:tabs>
        <w:ind w:left="5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1"/>
        </w:tabs>
        <w:ind w:left="5971" w:hanging="360"/>
      </w:pPr>
      <w:rPr>
        <w:rFonts w:ascii="Wingdings" w:hAnsi="Wingdings" w:hint="default"/>
      </w:rPr>
    </w:lvl>
  </w:abstractNum>
  <w:abstractNum w:abstractNumId="35" w15:restartNumberingAfterBreak="0">
    <w:nsid w:val="607D6905"/>
    <w:multiLevelType w:val="hybridMultilevel"/>
    <w:tmpl w:val="126AE6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250DB4"/>
    <w:multiLevelType w:val="hybridMultilevel"/>
    <w:tmpl w:val="D3B09E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839E9"/>
    <w:multiLevelType w:val="hybridMultilevel"/>
    <w:tmpl w:val="5712DF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0A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873BF3"/>
    <w:multiLevelType w:val="hybridMultilevel"/>
    <w:tmpl w:val="F362A380"/>
    <w:lvl w:ilvl="0" w:tplc="F5DCBC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40646"/>
    <w:multiLevelType w:val="hybridMultilevel"/>
    <w:tmpl w:val="CF72B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90D41"/>
    <w:multiLevelType w:val="hybridMultilevel"/>
    <w:tmpl w:val="2DA22388"/>
    <w:lvl w:ilvl="0" w:tplc="0405001B">
      <w:start w:val="1"/>
      <w:numFmt w:val="lowerRoman"/>
      <w:lvlText w:val="%1."/>
      <w:lvlJc w:val="right"/>
      <w:pPr>
        <w:ind w:left="2433" w:hanging="360"/>
      </w:pPr>
    </w:lvl>
    <w:lvl w:ilvl="1" w:tplc="04050019" w:tentative="1">
      <w:start w:val="1"/>
      <w:numFmt w:val="lowerLetter"/>
      <w:lvlText w:val="%2."/>
      <w:lvlJc w:val="left"/>
      <w:pPr>
        <w:ind w:left="3153" w:hanging="360"/>
      </w:pPr>
    </w:lvl>
    <w:lvl w:ilvl="2" w:tplc="0405001B" w:tentative="1">
      <w:start w:val="1"/>
      <w:numFmt w:val="lowerRoman"/>
      <w:lvlText w:val="%3."/>
      <w:lvlJc w:val="right"/>
      <w:pPr>
        <w:ind w:left="3873" w:hanging="180"/>
      </w:pPr>
    </w:lvl>
    <w:lvl w:ilvl="3" w:tplc="0405000F" w:tentative="1">
      <w:start w:val="1"/>
      <w:numFmt w:val="decimal"/>
      <w:lvlText w:val="%4."/>
      <w:lvlJc w:val="left"/>
      <w:pPr>
        <w:ind w:left="4593" w:hanging="360"/>
      </w:pPr>
    </w:lvl>
    <w:lvl w:ilvl="4" w:tplc="04050019" w:tentative="1">
      <w:start w:val="1"/>
      <w:numFmt w:val="lowerLetter"/>
      <w:lvlText w:val="%5."/>
      <w:lvlJc w:val="left"/>
      <w:pPr>
        <w:ind w:left="5313" w:hanging="360"/>
      </w:pPr>
    </w:lvl>
    <w:lvl w:ilvl="5" w:tplc="0405001B" w:tentative="1">
      <w:start w:val="1"/>
      <w:numFmt w:val="lowerRoman"/>
      <w:lvlText w:val="%6."/>
      <w:lvlJc w:val="right"/>
      <w:pPr>
        <w:ind w:left="6033" w:hanging="180"/>
      </w:pPr>
    </w:lvl>
    <w:lvl w:ilvl="6" w:tplc="0405000F" w:tentative="1">
      <w:start w:val="1"/>
      <w:numFmt w:val="decimal"/>
      <w:lvlText w:val="%7."/>
      <w:lvlJc w:val="left"/>
      <w:pPr>
        <w:ind w:left="6753" w:hanging="360"/>
      </w:pPr>
    </w:lvl>
    <w:lvl w:ilvl="7" w:tplc="04050019" w:tentative="1">
      <w:start w:val="1"/>
      <w:numFmt w:val="lowerLetter"/>
      <w:lvlText w:val="%8."/>
      <w:lvlJc w:val="left"/>
      <w:pPr>
        <w:ind w:left="7473" w:hanging="360"/>
      </w:pPr>
    </w:lvl>
    <w:lvl w:ilvl="8" w:tplc="040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2" w15:restartNumberingAfterBreak="0">
    <w:nsid w:val="792F4500"/>
    <w:multiLevelType w:val="hybridMultilevel"/>
    <w:tmpl w:val="9EE66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165B7"/>
    <w:multiLevelType w:val="hybridMultilevel"/>
    <w:tmpl w:val="B0123426"/>
    <w:lvl w:ilvl="0" w:tplc="EA86AA0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86" w:hanging="360"/>
      </w:pPr>
    </w:lvl>
    <w:lvl w:ilvl="2" w:tplc="0405001B" w:tentative="1">
      <w:start w:val="1"/>
      <w:numFmt w:val="lowerRoman"/>
      <w:lvlText w:val="%3."/>
      <w:lvlJc w:val="right"/>
      <w:pPr>
        <w:ind w:left="2306" w:hanging="180"/>
      </w:pPr>
    </w:lvl>
    <w:lvl w:ilvl="3" w:tplc="0405000F" w:tentative="1">
      <w:start w:val="1"/>
      <w:numFmt w:val="decimal"/>
      <w:lvlText w:val="%4."/>
      <w:lvlJc w:val="left"/>
      <w:pPr>
        <w:ind w:left="3026" w:hanging="360"/>
      </w:pPr>
    </w:lvl>
    <w:lvl w:ilvl="4" w:tplc="04050019" w:tentative="1">
      <w:start w:val="1"/>
      <w:numFmt w:val="lowerLetter"/>
      <w:lvlText w:val="%5."/>
      <w:lvlJc w:val="left"/>
      <w:pPr>
        <w:ind w:left="3746" w:hanging="360"/>
      </w:pPr>
    </w:lvl>
    <w:lvl w:ilvl="5" w:tplc="0405001B" w:tentative="1">
      <w:start w:val="1"/>
      <w:numFmt w:val="lowerRoman"/>
      <w:lvlText w:val="%6."/>
      <w:lvlJc w:val="right"/>
      <w:pPr>
        <w:ind w:left="4466" w:hanging="180"/>
      </w:pPr>
    </w:lvl>
    <w:lvl w:ilvl="6" w:tplc="0405000F" w:tentative="1">
      <w:start w:val="1"/>
      <w:numFmt w:val="decimal"/>
      <w:lvlText w:val="%7."/>
      <w:lvlJc w:val="left"/>
      <w:pPr>
        <w:ind w:left="5186" w:hanging="360"/>
      </w:pPr>
    </w:lvl>
    <w:lvl w:ilvl="7" w:tplc="04050019" w:tentative="1">
      <w:start w:val="1"/>
      <w:numFmt w:val="lowerLetter"/>
      <w:lvlText w:val="%8."/>
      <w:lvlJc w:val="left"/>
      <w:pPr>
        <w:ind w:left="5906" w:hanging="360"/>
      </w:pPr>
    </w:lvl>
    <w:lvl w:ilvl="8" w:tplc="040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4" w15:restartNumberingAfterBreak="0">
    <w:nsid w:val="7E530034"/>
    <w:multiLevelType w:val="hybridMultilevel"/>
    <w:tmpl w:val="98A0DD60"/>
    <w:lvl w:ilvl="0" w:tplc="57802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8055B"/>
    <w:multiLevelType w:val="hybridMultilevel"/>
    <w:tmpl w:val="29680044"/>
    <w:lvl w:ilvl="0" w:tplc="B186E21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6" w:hanging="360"/>
      </w:pPr>
    </w:lvl>
    <w:lvl w:ilvl="2" w:tplc="0405001B" w:tentative="1">
      <w:start w:val="1"/>
      <w:numFmt w:val="lowerRoman"/>
      <w:lvlText w:val="%3."/>
      <w:lvlJc w:val="right"/>
      <w:pPr>
        <w:ind w:left="3236" w:hanging="180"/>
      </w:pPr>
    </w:lvl>
    <w:lvl w:ilvl="3" w:tplc="0405000F" w:tentative="1">
      <w:start w:val="1"/>
      <w:numFmt w:val="decimal"/>
      <w:lvlText w:val="%4."/>
      <w:lvlJc w:val="left"/>
      <w:pPr>
        <w:ind w:left="3956" w:hanging="360"/>
      </w:pPr>
    </w:lvl>
    <w:lvl w:ilvl="4" w:tplc="04050019" w:tentative="1">
      <w:start w:val="1"/>
      <w:numFmt w:val="lowerLetter"/>
      <w:lvlText w:val="%5."/>
      <w:lvlJc w:val="left"/>
      <w:pPr>
        <w:ind w:left="4676" w:hanging="360"/>
      </w:pPr>
    </w:lvl>
    <w:lvl w:ilvl="5" w:tplc="0405001B" w:tentative="1">
      <w:start w:val="1"/>
      <w:numFmt w:val="lowerRoman"/>
      <w:lvlText w:val="%6."/>
      <w:lvlJc w:val="right"/>
      <w:pPr>
        <w:ind w:left="5396" w:hanging="180"/>
      </w:pPr>
    </w:lvl>
    <w:lvl w:ilvl="6" w:tplc="0405000F" w:tentative="1">
      <w:start w:val="1"/>
      <w:numFmt w:val="decimal"/>
      <w:lvlText w:val="%7."/>
      <w:lvlJc w:val="left"/>
      <w:pPr>
        <w:ind w:left="6116" w:hanging="360"/>
      </w:pPr>
    </w:lvl>
    <w:lvl w:ilvl="7" w:tplc="04050019" w:tentative="1">
      <w:start w:val="1"/>
      <w:numFmt w:val="lowerLetter"/>
      <w:lvlText w:val="%8."/>
      <w:lvlJc w:val="left"/>
      <w:pPr>
        <w:ind w:left="6836" w:hanging="360"/>
      </w:pPr>
    </w:lvl>
    <w:lvl w:ilvl="8" w:tplc="0405001B" w:tentative="1">
      <w:start w:val="1"/>
      <w:numFmt w:val="lowerRoman"/>
      <w:lvlText w:val="%9."/>
      <w:lvlJc w:val="right"/>
      <w:pPr>
        <w:ind w:left="7556" w:hanging="180"/>
      </w:pPr>
    </w:lvl>
  </w:abstractNum>
  <w:num w:numId="1">
    <w:abstractNumId w:val="34"/>
  </w:num>
  <w:num w:numId="2">
    <w:abstractNumId w:val="19"/>
  </w:num>
  <w:num w:numId="3">
    <w:abstractNumId w:val="5"/>
  </w:num>
  <w:num w:numId="4">
    <w:abstractNumId w:val="39"/>
  </w:num>
  <w:num w:numId="5">
    <w:abstractNumId w:val="45"/>
  </w:num>
  <w:num w:numId="6">
    <w:abstractNumId w:val="18"/>
  </w:num>
  <w:num w:numId="7">
    <w:abstractNumId w:val="41"/>
  </w:num>
  <w:num w:numId="8">
    <w:abstractNumId w:val="26"/>
  </w:num>
  <w:num w:numId="9">
    <w:abstractNumId w:val="0"/>
  </w:num>
  <w:num w:numId="10">
    <w:abstractNumId w:val="28"/>
  </w:num>
  <w:num w:numId="11">
    <w:abstractNumId w:val="31"/>
  </w:num>
  <w:num w:numId="12">
    <w:abstractNumId w:val="36"/>
  </w:num>
  <w:num w:numId="13">
    <w:abstractNumId w:val="13"/>
  </w:num>
  <w:num w:numId="14">
    <w:abstractNumId w:val="42"/>
  </w:num>
  <w:num w:numId="15">
    <w:abstractNumId w:val="12"/>
  </w:num>
  <w:num w:numId="16">
    <w:abstractNumId w:val="14"/>
  </w:num>
  <w:num w:numId="17">
    <w:abstractNumId w:val="37"/>
  </w:num>
  <w:num w:numId="18">
    <w:abstractNumId w:val="25"/>
  </w:num>
  <w:num w:numId="19">
    <w:abstractNumId w:val="7"/>
  </w:num>
  <w:num w:numId="20">
    <w:abstractNumId w:val="38"/>
  </w:num>
  <w:num w:numId="21">
    <w:abstractNumId w:val="35"/>
  </w:num>
  <w:num w:numId="22">
    <w:abstractNumId w:val="8"/>
  </w:num>
  <w:num w:numId="23">
    <w:abstractNumId w:val="33"/>
  </w:num>
  <w:num w:numId="24">
    <w:abstractNumId w:val="2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0"/>
  </w:num>
  <w:num w:numId="28">
    <w:abstractNumId w:val="10"/>
  </w:num>
  <w:num w:numId="29">
    <w:abstractNumId w:val="9"/>
  </w:num>
  <w:num w:numId="30">
    <w:abstractNumId w:val="16"/>
  </w:num>
  <w:num w:numId="31">
    <w:abstractNumId w:val="15"/>
  </w:num>
  <w:num w:numId="32">
    <w:abstractNumId w:val="44"/>
  </w:num>
  <w:num w:numId="33">
    <w:abstractNumId w:val="2"/>
  </w:num>
  <w:num w:numId="34">
    <w:abstractNumId w:val="21"/>
  </w:num>
  <w:num w:numId="35">
    <w:abstractNumId w:val="11"/>
  </w:num>
  <w:num w:numId="36">
    <w:abstractNumId w:val="3"/>
  </w:num>
  <w:num w:numId="37">
    <w:abstractNumId w:val="32"/>
  </w:num>
  <w:num w:numId="38">
    <w:abstractNumId w:val="17"/>
  </w:num>
  <w:num w:numId="39">
    <w:abstractNumId w:val="43"/>
  </w:num>
  <w:num w:numId="40">
    <w:abstractNumId w:val="22"/>
  </w:num>
  <w:num w:numId="41">
    <w:abstractNumId w:val="24"/>
  </w:num>
  <w:num w:numId="42">
    <w:abstractNumId w:val="40"/>
  </w:num>
  <w:num w:numId="43">
    <w:abstractNumId w:val="1"/>
  </w:num>
  <w:num w:numId="44">
    <w:abstractNumId w:val="1"/>
    <w:lvlOverride w:ilvl="0">
      <w:lvl w:ilvl="0">
        <w:start w:val="1"/>
        <w:numFmt w:val="none"/>
        <w:lvlText w:val="2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2.1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>
    <w:abstractNumId w:val="29"/>
  </w:num>
  <w:num w:numId="46">
    <w:abstractNumId w:val="30"/>
  </w:num>
  <w:num w:numId="47">
    <w:abstractNumId w:val="4"/>
  </w:num>
  <w:num w:numId="4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B7"/>
    <w:rsid w:val="0000158A"/>
    <w:rsid w:val="0001623E"/>
    <w:rsid w:val="000257C4"/>
    <w:rsid w:val="00063280"/>
    <w:rsid w:val="00085623"/>
    <w:rsid w:val="000916E4"/>
    <w:rsid w:val="00122BC0"/>
    <w:rsid w:val="00152E31"/>
    <w:rsid w:val="001629A2"/>
    <w:rsid w:val="00167642"/>
    <w:rsid w:val="001A2269"/>
    <w:rsid w:val="001D5CFC"/>
    <w:rsid w:val="0020049C"/>
    <w:rsid w:val="002408B7"/>
    <w:rsid w:val="00287E67"/>
    <w:rsid w:val="00290629"/>
    <w:rsid w:val="002C078C"/>
    <w:rsid w:val="002C386C"/>
    <w:rsid w:val="002D70AA"/>
    <w:rsid w:val="00300B8E"/>
    <w:rsid w:val="0032003F"/>
    <w:rsid w:val="003B0B57"/>
    <w:rsid w:val="003C10EA"/>
    <w:rsid w:val="004260A3"/>
    <w:rsid w:val="00440770"/>
    <w:rsid w:val="00457E87"/>
    <w:rsid w:val="0049263B"/>
    <w:rsid w:val="004C044D"/>
    <w:rsid w:val="004C5809"/>
    <w:rsid w:val="004D6ED6"/>
    <w:rsid w:val="004E76A3"/>
    <w:rsid w:val="00537AE9"/>
    <w:rsid w:val="005721AD"/>
    <w:rsid w:val="00586536"/>
    <w:rsid w:val="005F1088"/>
    <w:rsid w:val="0064376C"/>
    <w:rsid w:val="0064757D"/>
    <w:rsid w:val="00691446"/>
    <w:rsid w:val="00692F24"/>
    <w:rsid w:val="006A0635"/>
    <w:rsid w:val="006A4633"/>
    <w:rsid w:val="006A6CDC"/>
    <w:rsid w:val="006C38E2"/>
    <w:rsid w:val="006E2C49"/>
    <w:rsid w:val="0070139F"/>
    <w:rsid w:val="007416B4"/>
    <w:rsid w:val="007717FF"/>
    <w:rsid w:val="00793864"/>
    <w:rsid w:val="007A22A4"/>
    <w:rsid w:val="007E71BD"/>
    <w:rsid w:val="00822E0F"/>
    <w:rsid w:val="00836869"/>
    <w:rsid w:val="008A625A"/>
    <w:rsid w:val="008B1C85"/>
    <w:rsid w:val="009E0D76"/>
    <w:rsid w:val="00A276A0"/>
    <w:rsid w:val="00A470DA"/>
    <w:rsid w:val="00A66FF8"/>
    <w:rsid w:val="00AB2553"/>
    <w:rsid w:val="00AD1A0C"/>
    <w:rsid w:val="00AD200A"/>
    <w:rsid w:val="00AD54D6"/>
    <w:rsid w:val="00B267A2"/>
    <w:rsid w:val="00B56446"/>
    <w:rsid w:val="00BA3AD0"/>
    <w:rsid w:val="00BB57F7"/>
    <w:rsid w:val="00BB5D7F"/>
    <w:rsid w:val="00BC4E3B"/>
    <w:rsid w:val="00BD0C67"/>
    <w:rsid w:val="00BE0FEE"/>
    <w:rsid w:val="00C03656"/>
    <w:rsid w:val="00C23477"/>
    <w:rsid w:val="00C26726"/>
    <w:rsid w:val="00C769D2"/>
    <w:rsid w:val="00CA0B42"/>
    <w:rsid w:val="00D061F4"/>
    <w:rsid w:val="00D16FAD"/>
    <w:rsid w:val="00D56DF2"/>
    <w:rsid w:val="00DB7015"/>
    <w:rsid w:val="00DD43E8"/>
    <w:rsid w:val="00DF7009"/>
    <w:rsid w:val="00E0528E"/>
    <w:rsid w:val="00E13615"/>
    <w:rsid w:val="00E248A7"/>
    <w:rsid w:val="00E46310"/>
    <w:rsid w:val="00F763E8"/>
    <w:rsid w:val="00F806EA"/>
    <w:rsid w:val="00F96EB5"/>
    <w:rsid w:val="00FB49B2"/>
    <w:rsid w:val="00FC29D0"/>
    <w:rsid w:val="00FE30D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3BAD0"/>
  <w15:chartTrackingRefBased/>
  <w15:docId w15:val="{3EFD430E-E4DE-4A6C-9711-2C3ADCAF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Pr>
      <w:b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="Arial" w:eastAsia="Arial" w:hAnsi="Arial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="Arial" w:eastAsia="Arial" w:hAnsi="Arial"/>
      <w:szCs w:val="22"/>
      <w:lang w:val="en-US" w:eastAsia="en-US"/>
    </w:rPr>
  </w:style>
  <w:style w:type="character" w:customStyle="1" w:styleId="ZpatChar">
    <w:name w:val="Zápatí Char"/>
    <w:link w:val="Zpat"/>
    <w:uiPriority w:val="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pPr>
      <w:spacing w:before="680"/>
    </w:pPr>
    <w:rPr>
      <w:b/>
      <w:sz w:val="22"/>
    </w:rPr>
  </w:style>
  <w:style w:type="paragraph" w:customStyle="1" w:styleId="Hlavika">
    <w:name w:val="Hlavička"/>
    <w:basedOn w:val="Normln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Podtitul">
    <w:name w:val="Podtitul"/>
    <w:basedOn w:val="Normln"/>
    <w:next w:val="Normln"/>
    <w:link w:val="PodtitulChar"/>
    <w:uiPriority w:val="11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Pr>
      <w:i/>
      <w:iCs/>
      <w:color w:val="80808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rPr>
      <w:rFonts w:ascii="Times New Roman" w:eastAsia="Times New Roman" w:hAnsi="Times New Roman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1.safelinks.protection.outlook.com/?url=https%3A%2F%2Fwww.mfcr.cz%2Fcs%2Fverejny-sektor%2Fuzemni-rozpocty%2Fmetodicka-podpora%2F2022%2Fdokladani-uplneho-vypisu-z-evidence-skut-44275&amp;data=04%7C01%7CHelena.Kurova%40mmr.cz%7C7c004fc8eb1d4fc13de408da0ce49d90%7C8227f2a542384dd2baa9cb8d4f57a2e8%7C0%7C0%7C637836473291299656%7CUnknown%7CTWFpbGZsb3d8eyJWIjoiMC4wLjAwMDAiLCJQIjoiV2luMzIiLCJBTiI6Ik1haWwiLCJXVCI6Mn0%3D%7C3000&amp;sdata=FUIUoob1ngHRgs%2BM%2F2zhZYJp1B4d3Dg4drElffQVF6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test\s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E3F-4040-4AD5-90F4-3458D5C93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E263A-604F-41B5-B191-4785BA45E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9B30B-8E62-4837-B23A-1CE6C7C6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</Template>
  <TotalTime>1</TotalTime>
  <Pages>4</Pages>
  <Words>1930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subject/>
  <dc:creator>Bíbová Anna</dc:creator>
  <cp:keywords/>
  <cp:lastModifiedBy>Tichá Miroslava</cp:lastModifiedBy>
  <cp:revision>3</cp:revision>
  <cp:lastPrinted>2018-05-09T19:51:00Z</cp:lastPrinted>
  <dcterms:created xsi:type="dcterms:W3CDTF">2022-07-19T09:24:00Z</dcterms:created>
  <dcterms:modified xsi:type="dcterms:W3CDTF">2022-07-20T11:17:00Z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v odsouhlasení">
    <vt:lpwstr/>
  </property>
</Properties>
</file>