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604F" w14:textId="77777777" w:rsidR="001D39AF" w:rsidRPr="001D39AF" w:rsidRDefault="001D39AF" w:rsidP="001D39AF">
      <w:pPr>
        <w:spacing w:line="271" w:lineRule="auto"/>
        <w:jc w:val="center"/>
        <w:rPr>
          <w:rFonts w:ascii="Arial" w:eastAsia="Calibri" w:hAnsi="Arial" w:cs="Arial"/>
          <w:b/>
          <w:caps/>
          <w:kern w:val="0"/>
          <w:sz w:val="24"/>
          <w:szCs w:val="24"/>
          <w14:ligatures w14:val="none"/>
        </w:rPr>
      </w:pPr>
      <w:bookmarkStart w:id="0" w:name="_Toc226470977"/>
      <w:bookmarkStart w:id="1" w:name="_Toc229326377"/>
      <w:r w:rsidRPr="001D39AF">
        <w:rPr>
          <w:rFonts w:ascii="Arial" w:eastAsia="Calibri" w:hAnsi="Arial" w:cs="Arial"/>
          <w:b/>
          <w:caps/>
          <w:kern w:val="0"/>
          <w:sz w:val="24"/>
          <w:szCs w:val="24"/>
          <w14:ligatures w14:val="none"/>
        </w:rPr>
        <w:t>Pověřovací akt</w:t>
      </w:r>
    </w:p>
    <w:p w14:paraId="647CA837" w14:textId="77777777" w:rsidR="001D39AF" w:rsidRPr="001D39AF" w:rsidRDefault="001D39AF" w:rsidP="001D39AF">
      <w:pPr>
        <w:spacing w:line="271" w:lineRule="auto"/>
        <w:jc w:val="center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D4E26F1" w14:textId="77777777" w:rsidR="001D39AF" w:rsidRPr="001D39AF" w:rsidRDefault="001D39AF" w:rsidP="001D39AF">
      <w:pPr>
        <w:spacing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Smluvní strany</w:t>
      </w:r>
    </w:p>
    <w:p w14:paraId="5A38A0AC" w14:textId="77777777" w:rsidR="001D39AF" w:rsidRPr="001D39AF" w:rsidRDefault="001D39AF" w:rsidP="001D39AF">
      <w:pPr>
        <w:spacing w:line="271" w:lineRule="auto"/>
        <w:jc w:val="left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4624"/>
      </w:tblGrid>
      <w:tr w:rsidR="001D39AF" w:rsidRPr="001D39AF" w14:paraId="04D9B334" w14:textId="77777777" w:rsidTr="00DF7EB9">
        <w:tc>
          <w:tcPr>
            <w:tcW w:w="4515" w:type="dxa"/>
          </w:tcPr>
          <w:p w14:paraId="4978DE5F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  <w:b/>
              </w:rPr>
            </w:pPr>
            <w:r w:rsidRPr="001D39AF">
              <w:rPr>
                <w:rFonts w:ascii="Arial" w:eastAsia="Calibri" w:hAnsi="Arial" w:cs="Arial"/>
                <w:b/>
              </w:rPr>
              <w:t>Pověřovatel</w:t>
            </w:r>
          </w:p>
        </w:tc>
        <w:tc>
          <w:tcPr>
            <w:tcW w:w="4697" w:type="dxa"/>
          </w:tcPr>
          <w:p w14:paraId="3CF7ADF7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  <w:b/>
                <w:bCs/>
              </w:rPr>
            </w:pPr>
            <w:r w:rsidRPr="001D39AF">
              <w:rPr>
                <w:rFonts w:ascii="Arial" w:eastAsia="Calibri" w:hAnsi="Arial" w:cs="Arial"/>
                <w:b/>
                <w:bCs/>
              </w:rPr>
              <w:t>Ministerstvo pro místní rozvoj</w:t>
            </w:r>
          </w:p>
        </w:tc>
      </w:tr>
      <w:tr w:rsidR="001D39AF" w:rsidRPr="001D39AF" w14:paraId="42FBC354" w14:textId="77777777" w:rsidTr="00DF7EB9">
        <w:tc>
          <w:tcPr>
            <w:tcW w:w="4515" w:type="dxa"/>
          </w:tcPr>
          <w:p w14:paraId="2EBC7688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Adresa:</w:t>
            </w:r>
          </w:p>
        </w:tc>
        <w:tc>
          <w:tcPr>
            <w:tcW w:w="4697" w:type="dxa"/>
          </w:tcPr>
          <w:p w14:paraId="0F1C126E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Staroměstské náměstí 6, 110 00 Praha 1</w:t>
            </w:r>
          </w:p>
        </w:tc>
      </w:tr>
      <w:tr w:rsidR="001D39AF" w:rsidRPr="001D39AF" w14:paraId="18A0B58E" w14:textId="77777777" w:rsidTr="00DF7EB9">
        <w:tc>
          <w:tcPr>
            <w:tcW w:w="4515" w:type="dxa"/>
          </w:tcPr>
          <w:p w14:paraId="4F813E4A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Tel.:</w:t>
            </w:r>
          </w:p>
        </w:tc>
        <w:tc>
          <w:tcPr>
            <w:tcW w:w="4697" w:type="dxa"/>
          </w:tcPr>
          <w:p w14:paraId="2C3F6F61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  <w:color w:val="231F20"/>
              </w:rPr>
              <w:t>+420 224 861 111; +420 224 861 333</w:t>
            </w:r>
          </w:p>
        </w:tc>
      </w:tr>
      <w:tr w:rsidR="001D39AF" w:rsidRPr="001D39AF" w14:paraId="4AF63892" w14:textId="77777777" w:rsidTr="00DF7EB9">
        <w:tc>
          <w:tcPr>
            <w:tcW w:w="4515" w:type="dxa"/>
          </w:tcPr>
          <w:p w14:paraId="6861CFD7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4697" w:type="dxa"/>
          </w:tcPr>
          <w:p w14:paraId="0B6F6159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66 00 2222</w:t>
            </w:r>
          </w:p>
        </w:tc>
      </w:tr>
      <w:tr w:rsidR="001D39AF" w:rsidRPr="001D39AF" w14:paraId="5247CF1E" w14:textId="77777777" w:rsidTr="00DF7EB9">
        <w:tc>
          <w:tcPr>
            <w:tcW w:w="4515" w:type="dxa"/>
          </w:tcPr>
          <w:p w14:paraId="62E51D71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4697" w:type="dxa"/>
          </w:tcPr>
          <w:p w14:paraId="0AA7612E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7B8C851C" w14:textId="77777777" w:rsidTr="00DF7EB9">
        <w:tc>
          <w:tcPr>
            <w:tcW w:w="4515" w:type="dxa"/>
          </w:tcPr>
          <w:p w14:paraId="27E18E96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Bankovní spojení:</w:t>
            </w:r>
          </w:p>
        </w:tc>
        <w:tc>
          <w:tcPr>
            <w:tcW w:w="4697" w:type="dxa"/>
          </w:tcPr>
          <w:p w14:paraId="1327DE6C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2272CD2A" w14:textId="77777777" w:rsidTr="00DF7EB9">
        <w:tc>
          <w:tcPr>
            <w:tcW w:w="4515" w:type="dxa"/>
          </w:tcPr>
          <w:p w14:paraId="58DB85FF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Číslo účtu:</w:t>
            </w:r>
          </w:p>
        </w:tc>
        <w:tc>
          <w:tcPr>
            <w:tcW w:w="4697" w:type="dxa"/>
          </w:tcPr>
          <w:p w14:paraId="78B0672B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5018BD20" w14:textId="77777777" w:rsidTr="00DF7EB9">
        <w:tc>
          <w:tcPr>
            <w:tcW w:w="4515" w:type="dxa"/>
          </w:tcPr>
          <w:p w14:paraId="29359781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 xml:space="preserve">Zápis v obchodním rejstříku: </w:t>
            </w:r>
          </w:p>
        </w:tc>
        <w:tc>
          <w:tcPr>
            <w:tcW w:w="4697" w:type="dxa"/>
          </w:tcPr>
          <w:p w14:paraId="08020223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4EF0AE62" w14:textId="77777777" w:rsidTr="00DF7EB9">
        <w:tc>
          <w:tcPr>
            <w:tcW w:w="4515" w:type="dxa"/>
          </w:tcPr>
          <w:p w14:paraId="601C483E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Zastoupený:</w:t>
            </w:r>
          </w:p>
        </w:tc>
        <w:tc>
          <w:tcPr>
            <w:tcW w:w="4697" w:type="dxa"/>
          </w:tcPr>
          <w:p w14:paraId="380C67A3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33EA4BF1" w14:textId="77777777" w:rsidTr="00DF7EB9">
        <w:tc>
          <w:tcPr>
            <w:tcW w:w="4515" w:type="dxa"/>
          </w:tcPr>
          <w:p w14:paraId="025EBB19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(dále jen „pověřovatel“) na straně jedné</w:t>
            </w:r>
          </w:p>
        </w:tc>
        <w:tc>
          <w:tcPr>
            <w:tcW w:w="4697" w:type="dxa"/>
          </w:tcPr>
          <w:p w14:paraId="073C6B3A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</w:tbl>
    <w:p w14:paraId="3E702C0A" w14:textId="77777777" w:rsidR="001D39AF" w:rsidRPr="001D39AF" w:rsidRDefault="001D39AF" w:rsidP="001D39AF">
      <w:pPr>
        <w:spacing w:line="271" w:lineRule="auto"/>
        <w:jc w:val="left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6"/>
        <w:gridCol w:w="15"/>
        <w:gridCol w:w="4610"/>
      </w:tblGrid>
      <w:tr w:rsidR="001D39AF" w:rsidRPr="001D39AF" w14:paraId="3385E2DE" w14:textId="77777777" w:rsidTr="00DF7EB9">
        <w:tc>
          <w:tcPr>
            <w:tcW w:w="4446" w:type="dxa"/>
          </w:tcPr>
          <w:p w14:paraId="705661DF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  <w:b/>
              </w:rPr>
            </w:pPr>
            <w:r w:rsidRPr="001D39AF">
              <w:rPr>
                <w:rFonts w:ascii="Arial" w:eastAsia="Calibri" w:hAnsi="Arial" w:cs="Arial"/>
                <w:b/>
              </w:rPr>
              <w:t xml:space="preserve">Poskytovatel </w:t>
            </w:r>
          </w:p>
        </w:tc>
        <w:tc>
          <w:tcPr>
            <w:tcW w:w="4626" w:type="dxa"/>
            <w:gridSpan w:val="2"/>
          </w:tcPr>
          <w:p w14:paraId="3CF58F43" w14:textId="74E2C578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  <w:b/>
              </w:rPr>
            </w:pPr>
          </w:p>
        </w:tc>
      </w:tr>
      <w:tr w:rsidR="001D39AF" w:rsidRPr="001D39AF" w14:paraId="6D513F21" w14:textId="77777777" w:rsidTr="00DF7EB9">
        <w:tc>
          <w:tcPr>
            <w:tcW w:w="4446" w:type="dxa"/>
          </w:tcPr>
          <w:p w14:paraId="325D3D36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Adresa:</w:t>
            </w:r>
          </w:p>
        </w:tc>
        <w:tc>
          <w:tcPr>
            <w:tcW w:w="4626" w:type="dxa"/>
            <w:gridSpan w:val="2"/>
          </w:tcPr>
          <w:p w14:paraId="3E01FCEF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664863B4" w14:textId="77777777" w:rsidTr="00DF7EB9">
        <w:tc>
          <w:tcPr>
            <w:tcW w:w="4446" w:type="dxa"/>
          </w:tcPr>
          <w:p w14:paraId="60EFBAD0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Tel.:</w:t>
            </w:r>
          </w:p>
        </w:tc>
        <w:tc>
          <w:tcPr>
            <w:tcW w:w="4626" w:type="dxa"/>
            <w:gridSpan w:val="2"/>
          </w:tcPr>
          <w:p w14:paraId="67DEB811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0E4727AD" w14:textId="77777777" w:rsidTr="00DF7EB9">
        <w:tc>
          <w:tcPr>
            <w:tcW w:w="4446" w:type="dxa"/>
          </w:tcPr>
          <w:p w14:paraId="0225D014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IČ:</w:t>
            </w:r>
          </w:p>
        </w:tc>
        <w:tc>
          <w:tcPr>
            <w:tcW w:w="4626" w:type="dxa"/>
            <w:gridSpan w:val="2"/>
          </w:tcPr>
          <w:p w14:paraId="7FAC4104" w14:textId="3ABE6FF3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578EE0C3" w14:textId="77777777" w:rsidTr="00DF7EB9">
        <w:tc>
          <w:tcPr>
            <w:tcW w:w="4446" w:type="dxa"/>
          </w:tcPr>
          <w:p w14:paraId="5AC9CD92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4626" w:type="dxa"/>
            <w:gridSpan w:val="2"/>
          </w:tcPr>
          <w:p w14:paraId="0AE03CF3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5CE3FC09" w14:textId="77777777" w:rsidTr="00DF7EB9">
        <w:tc>
          <w:tcPr>
            <w:tcW w:w="4446" w:type="dxa"/>
          </w:tcPr>
          <w:p w14:paraId="1F51724E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Bankovní spojení:</w:t>
            </w:r>
          </w:p>
        </w:tc>
        <w:tc>
          <w:tcPr>
            <w:tcW w:w="4626" w:type="dxa"/>
            <w:gridSpan w:val="2"/>
          </w:tcPr>
          <w:p w14:paraId="129AEF88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623F998E" w14:textId="77777777" w:rsidTr="00DF7EB9">
        <w:tc>
          <w:tcPr>
            <w:tcW w:w="4446" w:type="dxa"/>
          </w:tcPr>
          <w:p w14:paraId="3148D7FC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Číslo účtu:</w:t>
            </w:r>
          </w:p>
        </w:tc>
        <w:tc>
          <w:tcPr>
            <w:tcW w:w="4626" w:type="dxa"/>
            <w:gridSpan w:val="2"/>
          </w:tcPr>
          <w:p w14:paraId="5292BBE8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4FB436DD" w14:textId="77777777" w:rsidTr="00DF7EB9">
        <w:tc>
          <w:tcPr>
            <w:tcW w:w="4461" w:type="dxa"/>
            <w:gridSpan w:val="2"/>
          </w:tcPr>
          <w:p w14:paraId="3CF2DA77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 xml:space="preserve">Zápis v obchodním rejstříku: </w:t>
            </w:r>
          </w:p>
        </w:tc>
        <w:tc>
          <w:tcPr>
            <w:tcW w:w="4611" w:type="dxa"/>
          </w:tcPr>
          <w:p w14:paraId="4BB3E710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3B4099EA" w14:textId="77777777" w:rsidTr="00DF7EB9">
        <w:tc>
          <w:tcPr>
            <w:tcW w:w="4446" w:type="dxa"/>
          </w:tcPr>
          <w:p w14:paraId="4FA9A542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Zastoupený:</w:t>
            </w:r>
          </w:p>
        </w:tc>
        <w:tc>
          <w:tcPr>
            <w:tcW w:w="4626" w:type="dxa"/>
            <w:gridSpan w:val="2"/>
          </w:tcPr>
          <w:p w14:paraId="3A35C12C" w14:textId="36D991B9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720C3BBA" w14:textId="77777777" w:rsidTr="00DF7EB9">
        <w:tc>
          <w:tcPr>
            <w:tcW w:w="4446" w:type="dxa"/>
          </w:tcPr>
          <w:p w14:paraId="385D732F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(dále jen „poskytovatel“) na straně druhé</w:t>
            </w:r>
          </w:p>
        </w:tc>
        <w:tc>
          <w:tcPr>
            <w:tcW w:w="4626" w:type="dxa"/>
            <w:gridSpan w:val="2"/>
          </w:tcPr>
          <w:p w14:paraId="7418AF5B" w14:textId="77777777" w:rsidR="001D39AF" w:rsidRPr="001D39AF" w:rsidRDefault="001D39AF" w:rsidP="001D39AF">
            <w:pPr>
              <w:spacing w:line="271" w:lineRule="auto"/>
              <w:rPr>
                <w:rFonts w:ascii="Arial" w:eastAsia="Calibri" w:hAnsi="Arial" w:cs="Arial"/>
              </w:rPr>
            </w:pPr>
          </w:p>
        </w:tc>
      </w:tr>
    </w:tbl>
    <w:p w14:paraId="5A5C5092" w14:textId="77777777" w:rsidR="001D39AF" w:rsidRPr="001D39AF" w:rsidRDefault="001D39AF" w:rsidP="001D39AF">
      <w:pPr>
        <w:spacing w:line="271" w:lineRule="auto"/>
        <w:jc w:val="left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28BD093" w14:textId="12F43E98" w:rsidR="001D39AF" w:rsidRPr="001D39AF" w:rsidRDefault="0FC15162" w:rsidP="001D39AF">
      <w:pPr>
        <w:spacing w:line="271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uzavírají tuto smlouvu v souladu s Rozhodnutím Komise ze </w:t>
      </w:r>
      <w:r w:rsidR="72212368"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>dne 16. prosince 2025 o použití čl. 106 odst. 2 Smlouvy o fungování Evropské unie na státní podporu ve formě vyrovnávací platby za závazek veřejné služby udělené určitým podnikům pověřeným poskytováním služeb obecného hospodářského zájmu a o zrušení rozhodnutí 2012/21/EU</w:t>
      </w:r>
      <w:r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>)</w:t>
      </w:r>
      <w:r w:rsidR="001D39AF" w:rsidRPr="00AE1A5E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2"/>
      </w:r>
      <w:r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(dále jen „rozhodnutí Komise </w:t>
      </w:r>
      <w:r w:rsidR="72212368"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>2025/2630</w:t>
      </w:r>
      <w:r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>/EU“) a zákonem č. 89/2012 Sb., občanský zákoník, ve znění pozdějších předpisů.</w:t>
      </w:r>
    </w:p>
    <w:p w14:paraId="68CD6194" w14:textId="77777777" w:rsidR="001D39AF" w:rsidRPr="001D39AF" w:rsidRDefault="001D39AF" w:rsidP="001D39AF">
      <w:pPr>
        <w:spacing w:before="360" w:after="120"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Článek I.</w:t>
      </w:r>
    </w:p>
    <w:p w14:paraId="2A25643A" w14:textId="77777777" w:rsidR="001D39AF" w:rsidRPr="001D39AF" w:rsidRDefault="001D39AF" w:rsidP="001D39AF">
      <w:pPr>
        <w:spacing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Předmět pověřovacího aktu</w:t>
      </w:r>
    </w:p>
    <w:p w14:paraId="7782C967" w14:textId="112BF067" w:rsidR="001D39AF" w:rsidRPr="00AE1A5E" w:rsidRDefault="001D39AF" w:rsidP="001D39AF">
      <w:pPr>
        <w:numPr>
          <w:ilvl w:val="0"/>
          <w:numId w:val="24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Pověřovatel pověřuje poskytovatele výkonem služeb obecného hospodářského zájmu (dále jen „SOHZ“)</w:t>
      </w:r>
      <w:r w:rsidR="00F7707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="002C3244" w:rsidRPr="00AE1A5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 bydlení (dále jen „SOHZ dostupného bydlení“) v</w:t>
      </w:r>
      <w:r w:rsidR="00AE1A5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 </w:t>
      </w:r>
      <w:r w:rsidR="002C3244" w:rsidRPr="00AE1A5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rozsahu a za podmínek stanovených tímto pověřovacím aktem a jeho přílohami.</w:t>
      </w:r>
    </w:p>
    <w:p w14:paraId="6F75676E" w14:textId="6E0B4D40" w:rsidR="001D39AF" w:rsidRPr="00AE1A5E" w:rsidRDefault="49FB9822" w:rsidP="5AC59919">
      <w:pPr>
        <w:numPr>
          <w:ilvl w:val="0"/>
          <w:numId w:val="24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lastRenderedPageBreak/>
        <w:t xml:space="preserve">Poskytovatel na sebe převzal závazek poskytovat SOHZ </w:t>
      </w:r>
      <w:r w:rsidR="42003EB0" w:rsidRPr="00AE1A5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 bydlení</w:t>
      </w:r>
      <w:r w:rsidR="42003EB0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podle podmínek </w:t>
      </w:r>
      <w:r w:rsidRPr="00AE1A5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uvedených v Pověřovacím aktu</w:t>
      </w:r>
      <w:r w:rsidR="2A18935E" w:rsidRPr="5AC59919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42003EB0" w:rsidRPr="5AC59919">
        <w:rPr>
          <w:rFonts w:ascii="Arial" w:eastAsia="Times New Roman" w:hAnsi="Arial" w:cs="Arial"/>
          <w:sz w:val="22"/>
          <w:szCs w:val="22"/>
          <w:lang w:eastAsia="cs-CZ"/>
        </w:rPr>
        <w:t>a</w:t>
      </w:r>
      <w:r w:rsidRPr="5AC59919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7B384E84" w:rsidRPr="5AC59919">
        <w:rPr>
          <w:rFonts w:ascii="Arial" w:eastAsia="Times New Roman" w:hAnsi="Arial" w:cs="Arial"/>
          <w:sz w:val="22"/>
          <w:szCs w:val="22"/>
          <w:lang w:eastAsia="cs-CZ"/>
        </w:rPr>
        <w:t xml:space="preserve">ve </w:t>
      </w:r>
      <w:r w:rsidR="7C570DFB" w:rsidRPr="00931060">
        <w:rPr>
          <w:rFonts w:ascii="Arial" w:eastAsia="Arial" w:hAnsi="Arial" w:cs="Arial"/>
          <w:color w:val="000000" w:themeColor="text1"/>
          <w:sz w:val="22"/>
          <w:szCs w:val="22"/>
        </w:rPr>
        <w:t>Vymezení SOHZ dostupného nájemního bydlení na sídlišti Šluknov</w:t>
      </w:r>
      <w:r w:rsidR="5F04F35B" w:rsidRPr="5AC59919">
        <w:rPr>
          <w:rFonts w:ascii="Arial" w:eastAsia="Times New Roman" w:hAnsi="Arial" w:cs="Arial"/>
          <w:sz w:val="22"/>
          <w:szCs w:val="22"/>
          <w:lang w:eastAsia="cs-CZ"/>
        </w:rPr>
        <w:t>.</w:t>
      </w:r>
    </w:p>
    <w:p w14:paraId="5D6193E7" w14:textId="0A5981D7" w:rsidR="001D39AF" w:rsidRPr="001D39AF" w:rsidRDefault="49FB9822" w:rsidP="5AC59919">
      <w:pPr>
        <w:numPr>
          <w:ilvl w:val="0"/>
          <w:numId w:val="24"/>
        </w:numPr>
        <w:spacing w:after="0" w:line="271" w:lineRule="auto"/>
        <w:contextualSpacing/>
        <w:jc w:val="left"/>
        <w:rPr>
          <w:rFonts w:ascii="Arial" w:eastAsia="Times New Roman" w:hAnsi="Arial" w:cs="Arial"/>
          <w:sz w:val="22"/>
          <w:szCs w:val="22"/>
          <w:lang w:eastAsia="cs-CZ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Poskytovatel se zavazuje, že bude poskytovat SOHZ </w:t>
      </w:r>
      <w:r w:rsidR="42003EB0" w:rsidRPr="00AE1A5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</w:t>
      </w:r>
      <w:r w:rsidR="42003EB0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bydlení formou pronájmu</w:t>
      </w:r>
      <w:r w:rsidR="004C2E3E" w:rsidRPr="75C45621">
        <w:rPr>
          <w:rFonts w:ascii="Arial" w:eastAsia="Times New Roman" w:hAnsi="Arial" w:cs="Arial"/>
          <w:sz w:val="22"/>
          <w:szCs w:val="22"/>
          <w:lang w:eastAsia="cs-CZ"/>
        </w:rPr>
        <w:t xml:space="preserve"> [</w:t>
      </w:r>
      <w:r w:rsidR="004C2E3E" w:rsidRPr="00931060">
        <w:rPr>
          <w:rFonts w:eastAsiaTheme="minorEastAsia"/>
          <w:i/>
          <w:iCs/>
          <w:sz w:val="22"/>
          <w:szCs w:val="22"/>
          <w:highlight w:val="lightGray"/>
          <w:lang w:eastAsia="cs-CZ"/>
        </w:rPr>
        <w:t>doplňte počet</w:t>
      </w:r>
      <w:r w:rsidR="004C2E3E" w:rsidRPr="5AC59919">
        <w:rPr>
          <w:rFonts w:ascii="Arial" w:eastAsia="Times New Roman" w:hAnsi="Arial" w:cs="Arial"/>
          <w:sz w:val="22"/>
          <w:szCs w:val="22"/>
          <w:lang w:eastAsia="cs-CZ"/>
        </w:rPr>
        <w:t>]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bytů za stanovené nájemné a</w:t>
      </w:r>
      <w:r w:rsidR="001754A5" w:rsidRPr="75C45621">
        <w:rPr>
          <w:rFonts w:ascii="Arial" w:eastAsia="Times New Roman" w:hAnsi="Arial" w:cs="Arial"/>
          <w:sz w:val="22"/>
          <w:szCs w:val="22"/>
          <w:lang w:eastAsia="cs-CZ"/>
        </w:rPr>
        <w:t xml:space="preserve"> za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podmínek </w:t>
      </w:r>
      <w:r w:rsidR="00A26FCB" w:rsidRPr="75C45621">
        <w:rPr>
          <w:rFonts w:ascii="Arial" w:eastAsia="Times New Roman" w:hAnsi="Arial" w:cs="Arial"/>
          <w:sz w:val="22"/>
          <w:szCs w:val="22"/>
          <w:lang w:eastAsia="cs-CZ"/>
        </w:rPr>
        <w:t xml:space="preserve">uvedených </w:t>
      </w:r>
      <w:r w:rsidRPr="00931060">
        <w:rPr>
          <w:rFonts w:eastAsiaTheme="minorEastAsia"/>
          <w:sz w:val="22"/>
          <w:szCs w:val="22"/>
          <w:lang w:eastAsia="cs-CZ"/>
        </w:rPr>
        <w:t>v</w:t>
      </w:r>
      <w:r w:rsidR="1A1C5DC3" w:rsidRPr="00931060">
        <w:rPr>
          <w:rFonts w:eastAsiaTheme="minorEastAsia"/>
          <w:sz w:val="22"/>
          <w:szCs w:val="22"/>
          <w:lang w:eastAsia="cs-CZ"/>
        </w:rPr>
        <w:t>e</w:t>
      </w:r>
      <w:r w:rsidR="2EA00444" w:rsidRPr="00931060">
        <w:rPr>
          <w:rFonts w:eastAsiaTheme="minorEastAsia"/>
          <w:sz w:val="22"/>
          <w:szCs w:val="22"/>
          <w:lang w:eastAsia="cs-CZ"/>
        </w:rPr>
        <w:t> </w:t>
      </w:r>
      <w:r w:rsidR="313D38C2" w:rsidRPr="00590F19">
        <w:rPr>
          <w:rFonts w:eastAsiaTheme="minorEastAsia"/>
          <w:sz w:val="22"/>
          <w:szCs w:val="22"/>
          <w:lang w:eastAsia="cs-CZ"/>
        </w:rPr>
        <w:t>Vymezení SOHZ dostupného nájemního bydlení na sídlišti Šluknov</w:t>
      </w:r>
      <w:r w:rsidRPr="00590F19">
        <w:rPr>
          <w:rFonts w:eastAsiaTheme="minorEastAsia"/>
          <w:sz w:val="22"/>
          <w:szCs w:val="22"/>
          <w:lang w:eastAsia="cs-CZ"/>
        </w:rPr>
        <w:t xml:space="preserve">. </w:t>
      </w:r>
    </w:p>
    <w:p w14:paraId="0373E0C9" w14:textId="77777777" w:rsidR="001D39AF" w:rsidRPr="001D39AF" w:rsidRDefault="001D39AF" w:rsidP="001D39AF">
      <w:pPr>
        <w:spacing w:before="360" w:after="120"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Článek II</w:t>
      </w:r>
    </w:p>
    <w:p w14:paraId="0F8326A9" w14:textId="77777777" w:rsidR="001D39AF" w:rsidRPr="001D39AF" w:rsidRDefault="001D39AF" w:rsidP="001D39AF">
      <w:pPr>
        <w:spacing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Obecná ustanovení a pojmy</w:t>
      </w:r>
    </w:p>
    <w:p w14:paraId="356ED83E" w14:textId="77777777" w:rsidR="001D39AF" w:rsidRPr="00AE1A5E" w:rsidRDefault="001D39AF" w:rsidP="001D39AF">
      <w:pPr>
        <w:numPr>
          <w:ilvl w:val="0"/>
          <w:numId w:val="29"/>
        </w:numPr>
        <w:spacing w:after="0" w:line="271" w:lineRule="auto"/>
        <w:ind w:left="714" w:hanging="357"/>
        <w:contextualSpacing/>
        <w:jc w:val="left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V rámci Pověřovacího aktu se veřejnou podporou míní vyrovnávací platba. </w:t>
      </w:r>
    </w:p>
    <w:p w14:paraId="786A9ADC" w14:textId="62B67A15" w:rsidR="001D39AF" w:rsidRPr="00AE1A5E" w:rsidRDefault="6F2ED689" w:rsidP="5AC59919">
      <w:pPr>
        <w:numPr>
          <w:ilvl w:val="0"/>
          <w:numId w:val="29"/>
        </w:numPr>
        <w:spacing w:after="0" w:line="271" w:lineRule="auto"/>
        <w:ind w:left="714" w:hanging="357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SOHZ </w:t>
      </w:r>
      <w:r w:rsidR="13260C5E"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>dostupn</w:t>
      </w:r>
      <w:r w:rsidR="14146E08"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>é</w:t>
      </w:r>
      <w:r w:rsidR="13260C5E"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ho </w:t>
      </w:r>
      <w:r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>bydlení představuje pronájem bytové jednotky</w:t>
      </w:r>
      <w:r w:rsidR="7323323C" w:rsidRPr="5A6E5753">
        <w:rPr>
          <w:rFonts w:ascii="Arial" w:eastAsia="Calibri" w:hAnsi="Arial" w:cs="Arial"/>
          <w:sz w:val="22"/>
          <w:szCs w:val="22"/>
        </w:rPr>
        <w:t>/bytových jednotek</w:t>
      </w:r>
      <w:r w:rsidRPr="00AE1A5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590F19">
        <w:rPr>
          <w:rFonts w:eastAsiaTheme="minorEastAsia"/>
          <w:sz w:val="22"/>
          <w:szCs w:val="22"/>
        </w:rPr>
        <w:t xml:space="preserve">za stanovené nájemné a podmínek </w:t>
      </w:r>
      <w:r w:rsidR="32FB3C06" w:rsidRPr="00590F19">
        <w:rPr>
          <w:rFonts w:eastAsiaTheme="minorEastAsia"/>
          <w:sz w:val="22"/>
          <w:szCs w:val="22"/>
        </w:rPr>
        <w:t xml:space="preserve">uvedených </w:t>
      </w:r>
      <w:r w:rsidR="13260C5E" w:rsidRPr="00590F19">
        <w:rPr>
          <w:rFonts w:eastAsiaTheme="minorEastAsia"/>
          <w:sz w:val="22"/>
          <w:szCs w:val="22"/>
        </w:rPr>
        <w:t>v</w:t>
      </w:r>
      <w:r w:rsidR="17C0CF37" w:rsidRPr="00590F19">
        <w:rPr>
          <w:rFonts w:eastAsiaTheme="minorEastAsia"/>
          <w:sz w:val="22"/>
          <w:szCs w:val="22"/>
        </w:rPr>
        <w:t>e</w:t>
      </w:r>
      <w:r w:rsidR="13260C5E" w:rsidRPr="00590F19">
        <w:rPr>
          <w:rFonts w:eastAsiaTheme="minorEastAsia"/>
          <w:sz w:val="22"/>
          <w:szCs w:val="22"/>
        </w:rPr>
        <w:t> </w:t>
      </w:r>
      <w:r w:rsidR="1EBA4ACB" w:rsidRPr="00590F19">
        <w:rPr>
          <w:rFonts w:eastAsiaTheme="minorEastAsia"/>
          <w:sz w:val="22"/>
          <w:szCs w:val="22"/>
        </w:rPr>
        <w:t>Vymezení SOHZ dostupného nájemního bydlení na sídlišti Šluknov</w:t>
      </w:r>
      <w:r w:rsidRPr="00590F19">
        <w:rPr>
          <w:rFonts w:eastAsiaTheme="minorEastAsia"/>
          <w:sz w:val="22"/>
          <w:szCs w:val="22"/>
        </w:rPr>
        <w:t xml:space="preserve">. </w:t>
      </w:r>
    </w:p>
    <w:p w14:paraId="5C35126D" w14:textId="4933AAD7" w:rsidR="00D412D5" w:rsidRPr="00C2170D" w:rsidRDefault="55AD685A" w:rsidP="45123516">
      <w:pPr>
        <w:numPr>
          <w:ilvl w:val="0"/>
          <w:numId w:val="29"/>
        </w:numPr>
        <w:spacing w:after="0" w:line="271" w:lineRule="auto"/>
        <w:ind w:left="714" w:hanging="357"/>
        <w:contextualSpacing/>
        <w:jc w:val="left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45123516">
        <w:rPr>
          <w:rFonts w:ascii="Arial" w:eastAsia="Calibri" w:hAnsi="Arial" w:cs="Arial"/>
          <w:sz w:val="22"/>
          <w:szCs w:val="22"/>
        </w:rPr>
        <w:t>Vyrovnávací platb</w:t>
      </w:r>
      <w:r w:rsidR="0E7F5DBA" w:rsidRPr="45123516">
        <w:rPr>
          <w:rFonts w:ascii="Arial" w:eastAsia="Calibri" w:hAnsi="Arial" w:cs="Arial"/>
          <w:sz w:val="22"/>
          <w:szCs w:val="22"/>
        </w:rPr>
        <w:t>a</w:t>
      </w:r>
      <w:r w:rsidRPr="45123516">
        <w:rPr>
          <w:rFonts w:ascii="Arial" w:eastAsia="Calibri" w:hAnsi="Arial" w:cs="Arial"/>
          <w:sz w:val="22"/>
          <w:szCs w:val="22"/>
        </w:rPr>
        <w:t xml:space="preserve"> </w:t>
      </w:r>
      <w:r w:rsidR="001D39AF" w:rsidRPr="45123516">
        <w:rPr>
          <w:rFonts w:ascii="Arial" w:eastAsia="Times New Roman" w:hAnsi="Arial" w:cs="Arial"/>
          <w:sz w:val="22"/>
          <w:szCs w:val="22"/>
          <w:lang w:eastAsia="cs-CZ"/>
        </w:rPr>
        <w:t>z rozpočtových prostředků [</w:t>
      </w:r>
      <w:r w:rsidR="001D39AF" w:rsidRPr="45123516">
        <w:rPr>
          <w:rFonts w:ascii="Arial" w:eastAsia="Times New Roman" w:hAnsi="Arial" w:cs="Arial"/>
          <w:i/>
          <w:iCs/>
          <w:sz w:val="22"/>
          <w:szCs w:val="22"/>
          <w:highlight w:val="lightGray"/>
          <w:lang w:eastAsia="cs-CZ"/>
        </w:rPr>
        <w:t>doplnit</w:t>
      </w:r>
      <w:r w:rsidR="3CA29FD3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 xml:space="preserve"> </w:t>
      </w:r>
      <w:r w:rsidR="09FDCEC7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>subjekt/poskytovatele dotace</w:t>
      </w:r>
      <w:r w:rsidR="001D39AF" w:rsidRPr="45123516">
        <w:rPr>
          <w:rFonts w:ascii="Arial" w:eastAsia="Times New Roman" w:hAnsi="Arial" w:cs="Arial"/>
          <w:sz w:val="22"/>
          <w:szCs w:val="22"/>
          <w:lang w:eastAsia="cs-CZ"/>
        </w:rPr>
        <w:t xml:space="preserve">] </w:t>
      </w:r>
      <w:r w:rsidR="001D39AF" w:rsidRPr="45123516">
        <w:rPr>
          <w:rFonts w:ascii="Arial" w:eastAsia="Calibri" w:hAnsi="Arial" w:cs="Arial"/>
          <w:sz w:val="22"/>
          <w:szCs w:val="22"/>
        </w:rPr>
        <w:t>jsou způsobilé výdaje uvedené v </w:t>
      </w:r>
      <w:r w:rsidR="001D39AF" w:rsidRPr="45123516">
        <w:rPr>
          <w:rFonts w:ascii="Arial" w:eastAsia="Times New Roman" w:hAnsi="Arial" w:cs="Arial"/>
          <w:sz w:val="22"/>
          <w:szCs w:val="22"/>
          <w:lang w:eastAsia="cs-CZ"/>
        </w:rPr>
        <w:t>[</w:t>
      </w:r>
      <w:r w:rsidR="001D39AF" w:rsidRPr="45123516">
        <w:rPr>
          <w:rFonts w:ascii="Arial" w:eastAsia="Times New Roman" w:hAnsi="Arial" w:cs="Arial"/>
          <w:i/>
          <w:iCs/>
          <w:sz w:val="22"/>
          <w:szCs w:val="22"/>
          <w:highlight w:val="lightGray"/>
          <w:lang w:eastAsia="cs-CZ"/>
        </w:rPr>
        <w:t>doplnit</w:t>
      </w:r>
      <w:r w:rsidR="09FDCEC7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 xml:space="preserve"> </w:t>
      </w:r>
      <w:r w:rsidR="2549E077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>rozhodnutí o poskytnutí dotace</w:t>
      </w:r>
      <w:r w:rsidR="38874CC0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 xml:space="preserve"> </w:t>
      </w:r>
      <w:r w:rsidR="00B1245F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 xml:space="preserve">nebo </w:t>
      </w:r>
      <w:r w:rsidR="2C19821F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>jiný právní akt o poskytnutí dotace</w:t>
      </w:r>
      <w:r w:rsidR="158D0AB4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>/kompenzace</w:t>
      </w:r>
      <w:r w:rsidR="6116D417" w:rsidRPr="45123516">
        <w:rPr>
          <w:rFonts w:ascii="Arial" w:eastAsia="Times New Roman" w:hAnsi="Arial" w:cs="Arial"/>
          <w:sz w:val="22"/>
          <w:szCs w:val="22"/>
          <w:lang w:eastAsia="cs-CZ"/>
        </w:rPr>
        <w:t>]</w:t>
      </w:r>
      <w:r w:rsidR="001D39AF" w:rsidRPr="45123516">
        <w:rPr>
          <w:rFonts w:ascii="Arial" w:eastAsia="Calibri" w:hAnsi="Arial" w:cs="Arial"/>
          <w:sz w:val="22"/>
          <w:szCs w:val="22"/>
        </w:rPr>
        <w:t xml:space="preserve">. </w:t>
      </w:r>
    </w:p>
    <w:p w14:paraId="75216D1A" w14:textId="2E8FC2E8" w:rsidR="001D39AF" w:rsidRPr="00AE1A5E" w:rsidRDefault="031D9B6C" w:rsidP="5AC59919">
      <w:pPr>
        <w:numPr>
          <w:ilvl w:val="0"/>
          <w:numId w:val="29"/>
        </w:numPr>
        <w:spacing w:after="0" w:line="271" w:lineRule="auto"/>
        <w:ind w:left="714" w:hanging="357"/>
        <w:contextualSpacing/>
        <w:jc w:val="left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5AC59919">
        <w:rPr>
          <w:rFonts w:ascii="Arial" w:eastAsia="Calibri" w:hAnsi="Arial" w:cs="Arial"/>
          <w:sz w:val="22"/>
          <w:szCs w:val="22"/>
        </w:rPr>
        <w:t>P</w:t>
      </w:r>
      <w:r w:rsidRPr="00590F19">
        <w:rPr>
          <w:rFonts w:ascii="Arial" w:eastAsia="Arial" w:hAnsi="Arial" w:cs="Arial"/>
          <w:color w:val="000000" w:themeColor="text1"/>
          <w:sz w:val="22"/>
          <w:szCs w:val="22"/>
        </w:rPr>
        <w:t>ověřovací akt nezakládá Poskytovateli právní nárok na poskytnutí dotace nebo jiné kompenzace ze strany Pověřovatele.</w:t>
      </w:r>
    </w:p>
    <w:p w14:paraId="65BA2931" w14:textId="77777777" w:rsidR="001D39AF" w:rsidRPr="001D39AF" w:rsidRDefault="001D39AF" w:rsidP="001D39AF">
      <w:pPr>
        <w:spacing w:before="360" w:after="120"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Článek III.</w:t>
      </w:r>
    </w:p>
    <w:p w14:paraId="31CB3CA1" w14:textId="77777777" w:rsidR="001D39AF" w:rsidRPr="001D39AF" w:rsidRDefault="001D39AF" w:rsidP="001D39AF">
      <w:pPr>
        <w:spacing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Výše vyrovnávací platby</w:t>
      </w:r>
    </w:p>
    <w:p w14:paraId="5CE1C1AE" w14:textId="47FD1E33" w:rsidR="001D39AF" w:rsidRPr="001D39AF" w:rsidRDefault="001D39AF" w:rsidP="001D39AF">
      <w:pPr>
        <w:numPr>
          <w:ilvl w:val="0"/>
          <w:numId w:val="25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Výše vyrovnávací platby nepřesáhne rozsah nezbytný k pokrytí čistých nákladů vynaložených při plnění závazku veřejné služby, včetně přiměřeného zisku. Čisté náklady představují rozdíl mezi náklady vzniklými při poskytování SOHZ </w:t>
      </w:r>
      <w:r w:rsidR="009D2204" w:rsidRPr="00AE1A5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</w:t>
      </w:r>
      <w:r w:rsidR="009D2204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bydlení a příjmy ze SOHZ </w:t>
      </w:r>
      <w:r w:rsidR="009D2204" w:rsidRPr="00AE1A5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</w:t>
      </w:r>
      <w:r w:rsidR="009D2204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bydlení za určené referenční období dle odst. 1 článku VII.</w:t>
      </w:r>
    </w:p>
    <w:p w14:paraId="5BD01E34" w14:textId="77777777" w:rsidR="001D39AF" w:rsidRPr="001D39AF" w:rsidRDefault="001D39AF" w:rsidP="001D39AF">
      <w:pPr>
        <w:spacing w:after="0" w:line="271" w:lineRule="auto"/>
        <w:ind w:left="720"/>
        <w:contextualSpacing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5A23A39B" w14:textId="27A2D917" w:rsidR="001D39AF" w:rsidRPr="001D39AF" w:rsidRDefault="001D39AF" w:rsidP="001D39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pacing w:after="0" w:line="271" w:lineRule="auto"/>
        <w:ind w:left="1560" w:right="1701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Čisté náklady SOHZ </w:t>
      </w:r>
      <w:r w:rsidR="009D2204" w:rsidRPr="00AE1A5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</w:t>
      </w:r>
      <w:r w:rsidR="009D2204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bydlení = Náklady vzniklé při poskytování SOHZ </w:t>
      </w:r>
      <w:r w:rsidR="009D2204" w:rsidRPr="00AE1A5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</w:t>
      </w:r>
      <w:r w:rsidR="009D2204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bydlení – Příjmy ze SOHZ </w:t>
      </w:r>
      <w:r w:rsidR="009D2204" w:rsidRPr="00AE1A5E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</w:t>
      </w:r>
      <w:r w:rsidR="009D2204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bydlení </w:t>
      </w:r>
    </w:p>
    <w:p w14:paraId="24484EAC" w14:textId="77777777" w:rsidR="001D39AF" w:rsidRPr="001D39AF" w:rsidRDefault="001D39AF" w:rsidP="001D39AF">
      <w:pPr>
        <w:spacing w:after="0" w:line="271" w:lineRule="auto"/>
        <w:ind w:left="1080"/>
        <w:contextualSpacing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04FEDC67" w14:textId="2C11B4C3" w:rsidR="001D39AF" w:rsidRPr="001D39AF" w:rsidRDefault="001D39AF" w:rsidP="45123516">
      <w:pPr>
        <w:numPr>
          <w:ilvl w:val="0"/>
          <w:numId w:val="25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45123516">
        <w:rPr>
          <w:rFonts w:ascii="Arial" w:eastAsia="Times New Roman" w:hAnsi="Arial" w:cs="Arial"/>
          <w:sz w:val="22"/>
          <w:szCs w:val="22"/>
          <w:lang w:eastAsia="cs-CZ"/>
        </w:rPr>
        <w:t>Výše poskytnuté vyrovnávací platby je stanovena a vyplácena v souladu s podmínkami vymezenými ve [</w:t>
      </w:r>
      <w:r w:rsidRPr="45123516">
        <w:rPr>
          <w:rFonts w:ascii="Arial" w:eastAsia="Times New Roman" w:hAnsi="Arial" w:cs="Arial"/>
          <w:i/>
          <w:iCs/>
          <w:sz w:val="22"/>
          <w:szCs w:val="22"/>
          <w:highlight w:val="lightGray"/>
          <w:lang w:eastAsia="cs-CZ"/>
        </w:rPr>
        <w:t>doplnit</w:t>
      </w:r>
      <w:r w:rsidR="7564E71B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 xml:space="preserve"> </w:t>
      </w:r>
      <w:r w:rsidR="63712C83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>rozhodnutí o poskytnutí dotace nebo jiný právní akt o poskytnutí dotace</w:t>
      </w:r>
      <w:r w:rsidR="105EBBFD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>/</w:t>
      </w:r>
      <w:r w:rsidR="0CDC767D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>kompenzace</w:t>
      </w:r>
      <w:r w:rsidRPr="45123516">
        <w:rPr>
          <w:rFonts w:ascii="Arial" w:eastAsia="Times New Roman" w:hAnsi="Arial" w:cs="Arial"/>
          <w:sz w:val="22"/>
          <w:szCs w:val="22"/>
          <w:lang w:eastAsia="cs-CZ"/>
        </w:rPr>
        <w:t xml:space="preserve">]. </w:t>
      </w:r>
      <w:r w:rsidR="49FB9822" w:rsidRPr="45123516">
        <w:rPr>
          <w:rFonts w:ascii="Arial" w:eastAsia="Times New Roman" w:hAnsi="Arial" w:cs="Arial"/>
          <w:sz w:val="22"/>
          <w:szCs w:val="22"/>
          <w:lang w:eastAsia="cs-CZ"/>
        </w:rPr>
        <w:t>Celková výše vyrovnávací platby představuje součet všech poskytnutých vyrovnávacích plateb za dobu trvání tohoto Pověřovacího aktu dle odst. 1 článku VII.</w:t>
      </w:r>
    </w:p>
    <w:p w14:paraId="405A0C92" w14:textId="77777777" w:rsidR="001D39AF" w:rsidRPr="001D39AF" w:rsidRDefault="001D39AF" w:rsidP="001D39AF">
      <w:pPr>
        <w:numPr>
          <w:ilvl w:val="0"/>
          <w:numId w:val="25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Vstupní data pro vyhodnocení vyrovnávací platby bude poskytovatel předkládat pověřovateli v souladu s článkem V odst. 5, 6 a 7.</w:t>
      </w:r>
    </w:p>
    <w:p w14:paraId="59A11CDF" w14:textId="77777777" w:rsidR="001D39AF" w:rsidRPr="001D39AF" w:rsidRDefault="001D39AF" w:rsidP="001D39AF">
      <w:pPr>
        <w:keepNext/>
        <w:spacing w:before="360" w:after="120"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lastRenderedPageBreak/>
        <w:t>Článek IV.</w:t>
      </w:r>
    </w:p>
    <w:p w14:paraId="14DD7D11" w14:textId="77777777" w:rsidR="001D39AF" w:rsidRPr="001D39AF" w:rsidRDefault="001D39AF" w:rsidP="001D39AF">
      <w:pPr>
        <w:keepNext/>
        <w:spacing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Vyhodnocování vyrovnávací platby</w:t>
      </w:r>
    </w:p>
    <w:p w14:paraId="1013B7CA" w14:textId="45A28916" w:rsidR="001D39AF" w:rsidRPr="001D39AF" w:rsidRDefault="001D39AF" w:rsidP="001D39AF">
      <w:pPr>
        <w:numPr>
          <w:ilvl w:val="0"/>
          <w:numId w:val="31"/>
        </w:numPr>
        <w:spacing w:after="0" w:line="271" w:lineRule="auto"/>
        <w:ind w:left="720" w:hanging="357"/>
        <w:contextualSpacing/>
        <w:jc w:val="left"/>
        <w:rPr>
          <w:rFonts w:ascii="Arial" w:eastAsia="Times New Roman" w:hAnsi="Arial" w:cs="Arial"/>
          <w:kern w:val="0"/>
          <w:sz w:val="24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Pravidelné vyhodnocování vyrovnávací platby </w:t>
      </w:r>
      <w:r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</w:t>
      </w:r>
      <w:r w:rsidR="0081473A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 5letých</w:t>
      </w:r>
      <w:r w:rsidR="0081473A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cyklech sleduje skutečný vývoj rozhodujících položek s cílem zjistit, zda nedošlo k nadměrnému vyrovnání (viz odstavec 3 článku IV.). Za účelem kontroly poskytnuté vyrovnávací platby budou porovnávány skutečné příjmy a náklady, tj. porovnání skutečné výše nákladů vzniklých při poskytování SOHZ </w:t>
      </w:r>
      <w:r w:rsidR="0081473A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</w:t>
      </w:r>
      <w:r w:rsidR="0081473A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bydlení s příjmy ze SOHZ </w:t>
      </w:r>
      <w:r w:rsidR="0081473A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</w:t>
      </w:r>
      <w:r w:rsidR="0081473A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bydlení za dané období.</w:t>
      </w:r>
      <w:r w:rsidRPr="001D39AF">
        <w:rPr>
          <w:rFonts w:ascii="Arial" w:eastAsia="Times New Roman" w:hAnsi="Arial" w:cs="Arial"/>
          <w:kern w:val="0"/>
          <w:sz w:val="24"/>
          <w:lang w:eastAsia="cs-CZ"/>
          <w14:ligatures w14:val="none"/>
        </w:rPr>
        <w:t xml:space="preserve">  </w:t>
      </w:r>
    </w:p>
    <w:p w14:paraId="5F7E8637" w14:textId="65480787" w:rsidR="001D39AF" w:rsidRPr="009A6D9C" w:rsidRDefault="6F2ED689" w:rsidP="78931ED3">
      <w:pPr>
        <w:numPr>
          <w:ilvl w:val="0"/>
          <w:numId w:val="31"/>
        </w:numPr>
        <w:spacing w:after="0" w:line="271" w:lineRule="auto"/>
        <w:ind w:left="720" w:hanging="426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Rozhodným okamžikem pro zahájení vyhodnocování vyrovnávací platby pro</w:t>
      </w:r>
      <w:r w:rsidR="0DBE8CB3" w:rsidRPr="4047F266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Pr="4047F266">
        <w:rPr>
          <w:rFonts w:ascii="Arial" w:eastAsia="Times New Roman" w:hAnsi="Arial" w:cs="Arial"/>
          <w:sz w:val="22"/>
          <w:szCs w:val="22"/>
          <w:lang w:eastAsia="cs-CZ"/>
        </w:rPr>
        <w:t xml:space="preserve">byty je datum účinnosti Pověřovacího aktu. </w:t>
      </w:r>
    </w:p>
    <w:p w14:paraId="13EFD0E9" w14:textId="510FE693" w:rsidR="001D39AF" w:rsidRPr="001D39AF" w:rsidRDefault="49FB9822" w:rsidP="5A6E5753">
      <w:pPr>
        <w:numPr>
          <w:ilvl w:val="0"/>
          <w:numId w:val="31"/>
        </w:numPr>
        <w:spacing w:after="0" w:line="271" w:lineRule="auto"/>
        <w:ind w:left="720" w:hanging="436"/>
        <w:contextualSpacing/>
        <w:jc w:val="left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Výše vyrovnávací platby se prověřuje vždy po uplynutí </w:t>
      </w:r>
      <w:r w:rsidR="37701387" w:rsidRPr="009A6D9C">
        <w:rPr>
          <w:rFonts w:ascii="Arial" w:eastAsia="Calibri" w:hAnsi="Arial" w:cs="Arial"/>
          <w:kern w:val="0"/>
          <w:sz w:val="22"/>
          <w:szCs w:val="22"/>
          <w14:ligatures w14:val="none"/>
        </w:rPr>
        <w:t>5letého</w:t>
      </w:r>
      <w:r w:rsidR="37701387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1D39A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cyklu od rozhodného okamžiku během trvání doby pověření a na konci této doby, a to na základě skutečných dat obdržených od Poskytovatele. </w:t>
      </w:r>
      <w:r w:rsidR="001D39AF" w:rsidRPr="4047F266" w:rsidDel="49FB9822">
        <w:rPr>
          <w:rFonts w:ascii="Arial" w:eastAsia="Calibri" w:hAnsi="Arial" w:cs="Arial"/>
          <w:sz w:val="22"/>
          <w:szCs w:val="22"/>
        </w:rPr>
        <w:t xml:space="preserve">Způsobilost příjmů a výdajů pro vyhodnocení vyrovnávací platby je </w:t>
      </w:r>
      <w:r w:rsidR="001D39AF" w:rsidRPr="4047F266" w:rsidDel="408AB70B">
        <w:rPr>
          <w:rFonts w:ascii="Arial" w:eastAsia="Calibri" w:hAnsi="Arial" w:cs="Arial"/>
          <w:sz w:val="22"/>
          <w:szCs w:val="22"/>
        </w:rPr>
        <w:t xml:space="preserve">od </w:t>
      </w:r>
      <w:r w:rsidR="001D39AF" w:rsidRPr="4047F266" w:rsidDel="3EE06DFF">
        <w:rPr>
          <w:rFonts w:ascii="Arial" w:eastAsia="Times New Roman" w:hAnsi="Arial" w:cs="Arial"/>
          <w:sz w:val="22"/>
          <w:szCs w:val="22"/>
          <w:lang w:eastAsia="cs-CZ"/>
        </w:rPr>
        <w:t>[</w:t>
      </w:r>
      <w:r w:rsidR="001D39AF" w:rsidRPr="5A6E5753" w:rsidDel="3EE06DFF">
        <w:rPr>
          <w:rFonts w:ascii="Arial" w:eastAsia="Times New Roman" w:hAnsi="Arial" w:cs="Arial"/>
          <w:i/>
          <w:iCs/>
          <w:sz w:val="22"/>
          <w:szCs w:val="22"/>
          <w:highlight w:val="lightGray"/>
          <w:lang w:eastAsia="cs-CZ"/>
        </w:rPr>
        <w:t>doplnit</w:t>
      </w:r>
      <w:r w:rsidR="001D39AF" w:rsidRPr="4047F266" w:rsidDel="3EE06DFF">
        <w:rPr>
          <w:rFonts w:ascii="Arial" w:eastAsia="Times New Roman" w:hAnsi="Arial" w:cs="Arial"/>
          <w:sz w:val="22"/>
          <w:szCs w:val="22"/>
          <w:lang w:eastAsia="cs-CZ"/>
        </w:rPr>
        <w:t>]</w:t>
      </w:r>
      <w:r w:rsidR="001D39AF" w:rsidRPr="4047F266" w:rsidDel="49FB9822">
        <w:rPr>
          <w:rFonts w:ascii="Arial" w:eastAsia="Calibri" w:hAnsi="Arial" w:cs="Arial"/>
          <w:sz w:val="22"/>
          <w:szCs w:val="22"/>
        </w:rPr>
        <w:t>.</w:t>
      </w:r>
      <w:r w:rsidRPr="001D39A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722E47D1" w14:textId="255BB95A" w:rsidR="001D39AF" w:rsidRPr="001D39AF" w:rsidRDefault="001D39AF" w:rsidP="001D39AF">
      <w:pPr>
        <w:numPr>
          <w:ilvl w:val="0"/>
          <w:numId w:val="30"/>
        </w:numPr>
        <w:spacing w:after="0" w:line="271" w:lineRule="auto"/>
        <w:ind w:left="1260"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Pokud vyhodnocení zjistí, že poskytovatel obdržel vyrovnávací platbu převyšující rozsah nezbytný k pokrytí čistých nákladů SOHZ </w:t>
      </w:r>
      <w:r w:rsidR="0081473A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</w:t>
      </w:r>
      <w:r w:rsidR="0081473A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bydlení, bude konstatováno, že došlo k nadměrnému vyrovnání (nadměrné vyrovnávací platbě).</w:t>
      </w:r>
    </w:p>
    <w:p w14:paraId="74862092" w14:textId="77777777" w:rsidR="001D39AF" w:rsidRPr="001D39AF" w:rsidRDefault="001D39AF" w:rsidP="001D39AF">
      <w:pPr>
        <w:numPr>
          <w:ilvl w:val="1"/>
          <w:numId w:val="30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Pokud nadměrně vyplacená vyrovnávací platba nepřesahuje 10 % průměrné roční vyrovnávací platby, bude přesah převeden do dalšího období.</w:t>
      </w:r>
    </w:p>
    <w:p w14:paraId="589C86C9" w14:textId="00391147" w:rsidR="001D39AF" w:rsidRPr="001D39AF" w:rsidRDefault="49FB9822" w:rsidP="4047F266">
      <w:pPr>
        <w:numPr>
          <w:ilvl w:val="1"/>
          <w:numId w:val="30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Pokud nadměrně vyplacená vyrovnávací platba přesáhne 10 % průměrné roční vyrovnávací platby, poskytovatel je povinen vrátit neprodleně </w:t>
      </w:r>
      <w:r w:rsidRPr="4047F266">
        <w:rPr>
          <w:rFonts w:ascii="Arial" w:eastAsia="Times New Roman" w:hAnsi="Arial" w:cs="Arial"/>
          <w:sz w:val="22"/>
          <w:szCs w:val="22"/>
          <w:lang w:eastAsia="cs-CZ"/>
        </w:rPr>
        <w:t>celou nadměrně vyplacenou částku</w:t>
      </w:r>
      <w:r w:rsidR="66998F8D" w:rsidRPr="4047F266">
        <w:rPr>
          <w:rFonts w:ascii="Arial" w:eastAsia="Times New Roman" w:hAnsi="Arial" w:cs="Arial"/>
          <w:sz w:val="22"/>
          <w:szCs w:val="22"/>
          <w:lang w:eastAsia="cs-CZ"/>
        </w:rPr>
        <w:t xml:space="preserve"> poskytovateli dotace</w:t>
      </w:r>
      <w:r w:rsidRPr="4047F266">
        <w:rPr>
          <w:rFonts w:ascii="Arial" w:eastAsia="Times New Roman" w:hAnsi="Arial" w:cs="Arial"/>
          <w:sz w:val="22"/>
          <w:szCs w:val="22"/>
          <w:lang w:eastAsia="cs-CZ"/>
        </w:rPr>
        <w:t>.</w:t>
      </w:r>
    </w:p>
    <w:p w14:paraId="07EBAFB4" w14:textId="28587163" w:rsidR="001D39AF" w:rsidRPr="001D39AF" w:rsidRDefault="49FB9822" w:rsidP="001D39AF">
      <w:pPr>
        <w:numPr>
          <w:ilvl w:val="0"/>
          <w:numId w:val="30"/>
        </w:numPr>
        <w:spacing w:after="0" w:line="271" w:lineRule="auto"/>
        <w:ind w:left="1260"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Pokud vyhodnocení na konci doby pověření (včetně předčasného ukončení) zjistí, že poskytovatel obdržel vyrovnávací platbu převyšující rozsah nezbytný k pokrytí čistých nákladů SOHZ</w:t>
      </w:r>
      <w:r w:rsidR="408AB70B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="408AB70B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bydlení, bude konstatováno, že došlo k nadměrnému vyrovnání (nadměrné vyrovnávací platbě) a poskytovatel je povinen vrátit </w:t>
      </w:r>
      <w:r w:rsidR="38EA293A" w:rsidRPr="4047F266">
        <w:rPr>
          <w:rFonts w:ascii="Arial" w:eastAsia="Times New Roman" w:hAnsi="Arial" w:cs="Arial"/>
          <w:sz w:val="22"/>
          <w:szCs w:val="22"/>
          <w:lang w:eastAsia="cs-CZ"/>
        </w:rPr>
        <w:t xml:space="preserve">poskytovateli dotace </w:t>
      </w:r>
      <w:r w:rsidRPr="4047F266">
        <w:rPr>
          <w:rFonts w:ascii="Arial" w:eastAsia="Times New Roman" w:hAnsi="Arial" w:cs="Arial"/>
          <w:sz w:val="22"/>
          <w:szCs w:val="22"/>
          <w:lang w:eastAsia="cs-CZ"/>
        </w:rPr>
        <w:t>celou nadměrně vyplacenou částku v souladu s čl. V. odst. 8.</w:t>
      </w:r>
    </w:p>
    <w:p w14:paraId="77C04855" w14:textId="1F87CD5F" w:rsidR="001D39AF" w:rsidRPr="001D39AF" w:rsidRDefault="001D39AF" w:rsidP="001D39AF">
      <w:pPr>
        <w:numPr>
          <w:ilvl w:val="0"/>
          <w:numId w:val="30"/>
        </w:numPr>
        <w:spacing w:after="0" w:line="271" w:lineRule="auto"/>
        <w:ind w:left="1260"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Pokud vyhodnocení zjistí, že vyrovnávací platba nepokryje čisté náklady SOHZ </w:t>
      </w:r>
      <w:r w:rsidR="0081473A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</w:t>
      </w:r>
      <w:r w:rsidR="0081473A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bydlení, nemá poskytovatel nárok na dodatečnou kompenzaci. Ztráta se připočítá k dalšímu období. </w:t>
      </w:r>
    </w:p>
    <w:p w14:paraId="26A3CAB5" w14:textId="77777777" w:rsidR="001D39AF" w:rsidRPr="001D39AF" w:rsidRDefault="001D39AF" w:rsidP="001D39AF">
      <w:pPr>
        <w:spacing w:before="360" w:after="120"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Článek V.</w:t>
      </w:r>
    </w:p>
    <w:p w14:paraId="74A455E5" w14:textId="77777777" w:rsidR="001D39AF" w:rsidRPr="001D39AF" w:rsidRDefault="001D39AF" w:rsidP="001D39AF">
      <w:pPr>
        <w:spacing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 xml:space="preserve">Povinnosti poskytovatele </w:t>
      </w:r>
    </w:p>
    <w:p w14:paraId="5F8031B8" w14:textId="77777777" w:rsidR="001D39AF" w:rsidRPr="001D39AF" w:rsidRDefault="001D39AF" w:rsidP="001D39AF">
      <w:pPr>
        <w:spacing w:line="271" w:lineRule="auto"/>
        <w:ind w:left="360"/>
        <w:jc w:val="left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kern w:val="0"/>
          <w:sz w:val="22"/>
          <w:szCs w:val="22"/>
          <w14:ligatures w14:val="none"/>
        </w:rPr>
        <w:t>Poskytovatel se zavazuje:</w:t>
      </w:r>
    </w:p>
    <w:p w14:paraId="54003FAD" w14:textId="77777777" w:rsidR="001D39AF" w:rsidRPr="001D39AF" w:rsidRDefault="001D39AF" w:rsidP="001D39AF">
      <w:pPr>
        <w:numPr>
          <w:ilvl w:val="0"/>
          <w:numId w:val="32"/>
        </w:numPr>
        <w:spacing w:after="0" w:line="271" w:lineRule="auto"/>
        <w:ind w:left="1068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Vést řádnou a oddělenou evidenci čerpání vyrovnávací platby v souladu se zákonem č. 563/1991 Sb., o účetnictví, ve znění pozdějších předpisů.</w:t>
      </w:r>
    </w:p>
    <w:p w14:paraId="2897B5E7" w14:textId="6ABEFFF5" w:rsidR="001D39AF" w:rsidRPr="001D39AF" w:rsidRDefault="001D39AF" w:rsidP="001D39AF">
      <w:pPr>
        <w:numPr>
          <w:ilvl w:val="0"/>
          <w:numId w:val="32"/>
        </w:numPr>
        <w:spacing w:after="0" w:line="271" w:lineRule="auto"/>
        <w:ind w:left="1068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Vést ve vnitropodnikovém účetnictví příjmy a výdaje spojené s poskytováním SOHZ </w:t>
      </w:r>
      <w:r w:rsidR="00B43343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</w:t>
      </w:r>
      <w:r w:rsidR="00B43343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bydlení odděleně od příjmů a výdajů spojených s jinými službami. </w:t>
      </w:r>
    </w:p>
    <w:p w14:paraId="5F2A2187" w14:textId="77777777" w:rsidR="001D39AF" w:rsidRPr="001D39AF" w:rsidRDefault="001D39AF" w:rsidP="001D39AF">
      <w:pPr>
        <w:numPr>
          <w:ilvl w:val="0"/>
          <w:numId w:val="32"/>
        </w:numPr>
        <w:spacing w:after="0" w:line="271" w:lineRule="auto"/>
        <w:ind w:left="1062" w:hanging="357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lastRenderedPageBreak/>
        <w:t>Označit originály účetních dokladů viditelným a nesmazatelným způsobem číslem projektu.</w:t>
      </w:r>
    </w:p>
    <w:p w14:paraId="6E55243D" w14:textId="77777777" w:rsidR="001D39AF" w:rsidRPr="001D39AF" w:rsidRDefault="001D39AF" w:rsidP="001D39AF">
      <w:pPr>
        <w:numPr>
          <w:ilvl w:val="0"/>
          <w:numId w:val="32"/>
        </w:numPr>
        <w:spacing w:after="0" w:line="271" w:lineRule="auto"/>
        <w:ind w:left="1068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Neprodleně oznámit pověřovateli změnu všech identifikačních údajů, uvedených v Pověřovacím aktu.</w:t>
      </w:r>
    </w:p>
    <w:p w14:paraId="535C1D16" w14:textId="706AB637" w:rsidR="001D39AF" w:rsidRPr="001D39AF" w:rsidRDefault="001D39AF" w:rsidP="001D39AF">
      <w:pPr>
        <w:numPr>
          <w:ilvl w:val="0"/>
          <w:numId w:val="32"/>
        </w:numPr>
        <w:spacing w:after="0" w:line="271" w:lineRule="auto"/>
        <w:ind w:left="1068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Předložit pověřovateli podklady pro kontrolu výše vyrovnávací platby v</w:t>
      </w:r>
      <w:r w:rsidR="00B43343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 </w:t>
      </w:r>
      <w:r w:rsidR="00B43343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5letém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cyklu a na konci doby pověření.</w:t>
      </w:r>
    </w:p>
    <w:p w14:paraId="0FD4C89C" w14:textId="77777777" w:rsidR="001D39AF" w:rsidRPr="001D39AF" w:rsidRDefault="001D39AF" w:rsidP="001D39AF">
      <w:pPr>
        <w:numPr>
          <w:ilvl w:val="0"/>
          <w:numId w:val="32"/>
        </w:numPr>
        <w:spacing w:after="0" w:line="271" w:lineRule="auto"/>
        <w:ind w:left="1068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Podklady pro kontrolu je poskytovatel povinen zaslat pověřovateli nejpozději do šesti měsíců od uplynutí uzavřeného cyklu nebo ukončení doby pověření.</w:t>
      </w:r>
    </w:p>
    <w:p w14:paraId="7120C68F" w14:textId="77777777" w:rsidR="001D39AF" w:rsidRPr="001D39AF" w:rsidRDefault="001D39AF" w:rsidP="001D39AF">
      <w:pPr>
        <w:numPr>
          <w:ilvl w:val="0"/>
          <w:numId w:val="32"/>
        </w:numPr>
        <w:spacing w:after="0" w:line="271" w:lineRule="auto"/>
        <w:ind w:left="1068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Na základě výzvy pověřovatele je poskytovatel povinen předložit k nahlédnutí originály účetních dokladů souvisejících s čerpáním vyrovnávací platby.</w:t>
      </w:r>
    </w:p>
    <w:p w14:paraId="116E5D81" w14:textId="762B8A12" w:rsidR="001D39AF" w:rsidRPr="001D39AF" w:rsidRDefault="001D39AF" w:rsidP="5A6E5753">
      <w:pPr>
        <w:numPr>
          <w:ilvl w:val="0"/>
          <w:numId w:val="32"/>
        </w:numPr>
        <w:spacing w:after="0" w:line="271" w:lineRule="auto"/>
        <w:ind w:left="1068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Vyzve-li pověřovatel poskytovatele k navrácení zjištěné nadměrně vyplacené vyrovnávací platby, je poskytovatel povinen ve stanovené lhůtě, ne delší než třicet kalendářních dní počínaje následujícím kalendářním měsícem, takto učinit a poukázat platbu na bankovní účet</w:t>
      </w:r>
      <w:r w:rsidR="4DCADA5D" w:rsidRPr="5A6E5753">
        <w:rPr>
          <w:rFonts w:ascii="Arial" w:eastAsia="Times New Roman" w:hAnsi="Arial" w:cs="Arial"/>
          <w:sz w:val="22"/>
          <w:szCs w:val="22"/>
          <w:lang w:eastAsia="cs-CZ"/>
        </w:rPr>
        <w:t xml:space="preserve"> poskytovatele dotace</w:t>
      </w:r>
      <w:r w:rsidRPr="5A6E5753">
        <w:rPr>
          <w:rFonts w:ascii="Arial" w:eastAsia="Times New Roman" w:hAnsi="Arial" w:cs="Arial"/>
          <w:sz w:val="22"/>
          <w:szCs w:val="22"/>
          <w:lang w:eastAsia="cs-CZ"/>
        </w:rPr>
        <w:t>, uvedený pověřovatelem ve výzvě.</w:t>
      </w:r>
    </w:p>
    <w:p w14:paraId="5205D396" w14:textId="77777777" w:rsidR="001D39AF" w:rsidRPr="001D39AF" w:rsidRDefault="001D39AF" w:rsidP="001D39AF">
      <w:pPr>
        <w:numPr>
          <w:ilvl w:val="0"/>
          <w:numId w:val="32"/>
        </w:numPr>
        <w:spacing w:after="0" w:line="271" w:lineRule="auto"/>
        <w:ind w:left="1068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Poskytovatel má povinnost uchovávat veškeré doklady vztahující se k uloženému závazku veřejné služby po dobu nejméně 10 let od konce doby pověření.</w:t>
      </w:r>
    </w:p>
    <w:p w14:paraId="44930466" w14:textId="77777777" w:rsidR="001D39AF" w:rsidRPr="001D39AF" w:rsidRDefault="001D39AF" w:rsidP="001D39AF">
      <w:pPr>
        <w:spacing w:before="360" w:after="120"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Článek VI.</w:t>
      </w:r>
    </w:p>
    <w:p w14:paraId="571C8DE7" w14:textId="77777777" w:rsidR="001D39AF" w:rsidRPr="001D39AF" w:rsidRDefault="001D39AF" w:rsidP="001D39AF">
      <w:pPr>
        <w:spacing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Kontrola, sankce</w:t>
      </w:r>
    </w:p>
    <w:p w14:paraId="7D7CB061" w14:textId="6F8244AE" w:rsidR="001D39AF" w:rsidRPr="001D39AF" w:rsidRDefault="001D39AF" w:rsidP="001D39AF">
      <w:pPr>
        <w:numPr>
          <w:ilvl w:val="0"/>
          <w:numId w:val="26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Poskytovatel je povinen realizovat nápravná opatření, uložená kontrolním orgánem pověřovatele na základě kontrol zaměřených na plnění závazku SOHZ </w:t>
      </w:r>
      <w:r w:rsidR="00B43343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</w:t>
      </w:r>
      <w:r w:rsidR="00B43343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bydlení v termínu, rozsahu a kvalitě podle požadavků pověřovatele.</w:t>
      </w:r>
    </w:p>
    <w:p w14:paraId="338774CC" w14:textId="42D9B8D3" w:rsidR="001D39AF" w:rsidRPr="001D39AF" w:rsidRDefault="49FB9822" w:rsidP="45123516">
      <w:pPr>
        <w:numPr>
          <w:ilvl w:val="0"/>
          <w:numId w:val="26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Kontrola ze strany pověřovatele se zaměřuje na plnění závazků poskytovatele, vyplývajících z Pověření, rovněž tak ze závazků, vyplývajících z</w:t>
      </w:r>
      <w:r w:rsidR="1EDE7F68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 </w:t>
      </w:r>
      <w:r w:rsidR="197A8EB0" w:rsidRPr="5A6E5753">
        <w:rPr>
          <w:rFonts w:ascii="Arial" w:eastAsia="Times New Roman" w:hAnsi="Arial" w:cs="Arial"/>
          <w:sz w:val="22"/>
          <w:szCs w:val="22"/>
          <w:lang w:eastAsia="cs-CZ"/>
        </w:rPr>
        <w:t>[</w:t>
      </w:r>
      <w:r w:rsidR="197A8EB0" w:rsidRPr="45123516">
        <w:rPr>
          <w:rFonts w:ascii="Arial" w:eastAsia="Times New Roman" w:hAnsi="Arial" w:cs="Arial"/>
          <w:i/>
          <w:iCs/>
          <w:sz w:val="22"/>
          <w:szCs w:val="22"/>
          <w:highlight w:val="lightGray"/>
          <w:lang w:eastAsia="cs-CZ"/>
        </w:rPr>
        <w:t>doplnit r</w:t>
      </w:r>
      <w:r w:rsidR="197A8EB0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>ozhodnutí o poskytnutí dotace nebo jiný právní akt o poskytnutí dotace</w:t>
      </w:r>
      <w:r w:rsidR="13AF24D7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 xml:space="preserve"> nebo jiné kompenz</w:t>
      </w:r>
      <w:r w:rsidR="763A0CDD" w:rsidRPr="45123516">
        <w:rPr>
          <w:rFonts w:ascii="Arial" w:eastAsia="Times New Roman" w:hAnsi="Arial" w:cs="Arial"/>
          <w:i/>
          <w:iCs/>
          <w:sz w:val="22"/>
          <w:szCs w:val="22"/>
          <w:lang w:eastAsia="cs-CZ"/>
        </w:rPr>
        <w:t>ace</w:t>
      </w:r>
      <w:r w:rsidR="197A8EB0" w:rsidRPr="45123516">
        <w:rPr>
          <w:rFonts w:ascii="Arial" w:eastAsia="Times New Roman" w:hAnsi="Arial" w:cs="Arial"/>
          <w:sz w:val="22"/>
          <w:szCs w:val="22"/>
          <w:lang w:eastAsia="cs-CZ"/>
        </w:rPr>
        <w:t>]</w:t>
      </w:r>
      <w:r w:rsidRPr="45123516">
        <w:rPr>
          <w:rFonts w:ascii="Arial" w:eastAsia="Times New Roman" w:hAnsi="Arial" w:cs="Arial"/>
          <w:sz w:val="22"/>
          <w:szCs w:val="22"/>
          <w:lang w:eastAsia="cs-CZ"/>
        </w:rPr>
        <w:t>.</w:t>
      </w:r>
    </w:p>
    <w:p w14:paraId="6E987DD0" w14:textId="77777777" w:rsidR="001D39AF" w:rsidRPr="001D39AF" w:rsidRDefault="001D39AF" w:rsidP="001D39AF">
      <w:pPr>
        <w:numPr>
          <w:ilvl w:val="0"/>
          <w:numId w:val="26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Poskytovatel je povinen písemně informovat kontrolní orgán pověřovatele, který mu nápravná opatření uložil, o splnění uložených opatření k nápravě v daném termínu, uvedeném v kontrolní zprávě pověřovatele.</w:t>
      </w:r>
    </w:p>
    <w:p w14:paraId="6B1F8E3E" w14:textId="77777777" w:rsidR="001D39AF" w:rsidRPr="001D39AF" w:rsidRDefault="001D39AF" w:rsidP="001D39AF">
      <w:pPr>
        <w:numPr>
          <w:ilvl w:val="0"/>
          <w:numId w:val="26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Pokud poskytovatel nesplní jemu uložená nápravná opatření, je pověřovatel oprávněn vůči poskytovateli předepsat odpovídající finanční sankci a vyžadovat její zaplacení na jím stanovený účet.</w:t>
      </w:r>
    </w:p>
    <w:p w14:paraId="34A0E021" w14:textId="77777777" w:rsidR="001D39AF" w:rsidRPr="001D39AF" w:rsidRDefault="001D39AF" w:rsidP="001D39AF">
      <w:pPr>
        <w:spacing w:line="271" w:lineRule="auto"/>
        <w:ind w:left="709" w:hanging="349"/>
        <w:jc w:val="left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9A6D9C">
        <w:rPr>
          <w:rFonts w:ascii="Arial" w:eastAsia="Calibri" w:hAnsi="Arial" w:cs="Arial"/>
          <w:kern w:val="0"/>
          <w:sz w:val="22"/>
          <w:szCs w:val="22"/>
          <w14:ligatures w14:val="none"/>
        </w:rPr>
        <w:t>Za nepředložení podkladů pro kontrolu anebo opožděné odevzdání dokumentů po uplynutí dodatečné lhůty je stanovena sankce 1 % z celkové částky vyrovnávací platby, maximálně však 5 000,- Kč za každé porušení.</w:t>
      </w:r>
    </w:p>
    <w:p w14:paraId="1AC3125B" w14:textId="4E51BDC9" w:rsidR="001D39AF" w:rsidRPr="001D39AF" w:rsidRDefault="001D39AF" w:rsidP="001D39AF">
      <w:pPr>
        <w:numPr>
          <w:ilvl w:val="0"/>
          <w:numId w:val="26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 případě, že dojde ze strany poskytovatele SOHZ k porušení podmínek nakládání s</w:t>
      </w:r>
      <w:r w:rsidR="0027739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="00277399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dostupnými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byty nebo nesplnění parametrů </w:t>
      </w:r>
      <w:r w:rsidR="00277399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</w:t>
      </w:r>
      <w:r w:rsidR="0027739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bydlení, bude poskytovateli SOHZ vyměřena, v souladu se zásadami proporcionality, finanční oprava odpovídající době neplnění uvedených podmínek.  </w:t>
      </w:r>
    </w:p>
    <w:p w14:paraId="48A3E1A8" w14:textId="77777777" w:rsidR="001D39AF" w:rsidRPr="001D39AF" w:rsidRDefault="001D39AF" w:rsidP="001D39AF">
      <w:pPr>
        <w:numPr>
          <w:ilvl w:val="0"/>
          <w:numId w:val="26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Finanční sankce se mohou pohybovat až do výše poskytnuté celkové vyrovnávací platby. </w:t>
      </w:r>
    </w:p>
    <w:p w14:paraId="5214D780" w14:textId="6402BD54" w:rsidR="001D39AF" w:rsidRPr="001D39AF" w:rsidRDefault="49FB9822" w:rsidP="4047F266">
      <w:pPr>
        <w:numPr>
          <w:ilvl w:val="0"/>
          <w:numId w:val="26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Stanovenou finanční sankci je poskytovatel povinen uhradit na účet </w:t>
      </w:r>
      <w:r w:rsidR="1D5445F9" w:rsidRPr="4047F266">
        <w:rPr>
          <w:rFonts w:ascii="Arial" w:eastAsia="Times New Roman" w:hAnsi="Arial" w:cs="Arial"/>
          <w:sz w:val="22"/>
          <w:szCs w:val="22"/>
          <w:lang w:eastAsia="cs-CZ"/>
        </w:rPr>
        <w:t>poskytovatele dotace</w:t>
      </w:r>
      <w:r w:rsidRPr="4047F266">
        <w:rPr>
          <w:rFonts w:ascii="Arial" w:eastAsia="Times New Roman" w:hAnsi="Arial" w:cs="Arial"/>
          <w:sz w:val="22"/>
          <w:szCs w:val="22"/>
          <w:lang w:eastAsia="cs-CZ"/>
        </w:rPr>
        <w:t xml:space="preserve">, a to nejpozději do dne určeného pověřovatelem. Rozhodným dnem, kdy je </w:t>
      </w:r>
      <w:r w:rsidRPr="4047F266">
        <w:rPr>
          <w:rFonts w:ascii="Arial" w:eastAsia="Times New Roman" w:hAnsi="Arial" w:cs="Arial"/>
          <w:sz w:val="22"/>
          <w:szCs w:val="22"/>
          <w:lang w:eastAsia="cs-CZ"/>
        </w:rPr>
        <w:lastRenderedPageBreak/>
        <w:t>stanovená finanční sankce uhrazena, je den vystavení příslušného převodního příkazu poskytovatelem a jeho předání bance poskytovatele k proplacení.</w:t>
      </w:r>
    </w:p>
    <w:p w14:paraId="049C31CE" w14:textId="6F5DE065" w:rsidR="001D39AF" w:rsidRPr="001D39AF" w:rsidRDefault="49FB9822" w:rsidP="45123516">
      <w:pPr>
        <w:numPr>
          <w:ilvl w:val="0"/>
          <w:numId w:val="26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Je-li poskytovatel v prodlení s návratem stanovené částky z titulu nadměrně vyplacené vyrovnávací platby, anebo z titulu předchozích ustanovení v tomto článku, má pověřovatel nárok na poplatek z prodlení ve výši 1 promile ze stanovené částky za každý i započatý den prodlení, nejvýše však do výše částky přesahující vyrovnávací platbu, respektive stanovené finanční sankce. Poplatek z prodlení se počítá ode dne následujícího, kdy marně uplynula lhůta k zaplacení, stanovená pověřovatelem,</w:t>
      </w:r>
      <w:r w:rsidRPr="4047F266">
        <w:rPr>
          <w:rFonts w:ascii="Arial" w:eastAsia="Times New Roman" w:hAnsi="Arial" w:cs="Arial"/>
          <w:sz w:val="22"/>
          <w:szCs w:val="22"/>
          <w:lang w:eastAsia="cs-CZ"/>
        </w:rPr>
        <w:t xml:space="preserve"> do dne připsání peněžních prostředků na účet </w:t>
      </w:r>
      <w:r w:rsidR="463AA22A" w:rsidRPr="4047F266">
        <w:rPr>
          <w:rFonts w:ascii="Arial" w:eastAsia="Times New Roman" w:hAnsi="Arial" w:cs="Arial"/>
          <w:sz w:val="22"/>
          <w:szCs w:val="22"/>
          <w:lang w:eastAsia="cs-CZ"/>
        </w:rPr>
        <w:t>poskytovatele dotace</w:t>
      </w:r>
      <w:r w:rsidRPr="4047F266">
        <w:rPr>
          <w:rFonts w:ascii="Arial" w:eastAsia="Times New Roman" w:hAnsi="Arial" w:cs="Arial"/>
          <w:sz w:val="22"/>
          <w:szCs w:val="22"/>
          <w:lang w:eastAsia="cs-CZ"/>
        </w:rPr>
        <w:t xml:space="preserve">. </w:t>
      </w:r>
    </w:p>
    <w:p w14:paraId="772F5950" w14:textId="58E95F64" w:rsidR="001D39AF" w:rsidRPr="001D39AF" w:rsidRDefault="49FB9822" w:rsidP="4047F266">
      <w:pPr>
        <w:numPr>
          <w:ilvl w:val="0"/>
          <w:numId w:val="26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Poruší-li poskytovatel podstatným způsobem povinnosti vyplývající mu z Pověřovacího aktu, je pověřovatel oprávněn od Pověřovacího aktu odstoupit. V případě odstoupení od Pověřovacího aktu </w:t>
      </w:r>
      <w:bookmarkStart w:id="2" w:name="_Hlk177115068"/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je poskytovatel povinen do 15 dnů ode dne doručení výzvy pověřovatele vrátit na účet </w:t>
      </w:r>
      <w:r w:rsidR="246BC0DA" w:rsidRPr="4047F266">
        <w:rPr>
          <w:rFonts w:ascii="Arial" w:eastAsia="Times New Roman" w:hAnsi="Arial" w:cs="Arial"/>
          <w:sz w:val="22"/>
          <w:szCs w:val="22"/>
          <w:lang w:eastAsia="cs-CZ"/>
        </w:rPr>
        <w:t xml:space="preserve">poskytovatele dotace </w:t>
      </w:r>
      <w:r w:rsidRPr="4047F266">
        <w:rPr>
          <w:rFonts w:ascii="Arial" w:eastAsia="Times New Roman" w:hAnsi="Arial" w:cs="Arial"/>
          <w:sz w:val="22"/>
          <w:szCs w:val="22"/>
          <w:lang w:eastAsia="cs-CZ"/>
        </w:rPr>
        <w:t>poměrnou část vyrovnávací platby odpovídající délce doby, po kterou nebyly podmínky plněny</w:t>
      </w:r>
      <w:bookmarkEnd w:id="2"/>
      <w:r w:rsidRPr="4047F266">
        <w:rPr>
          <w:rFonts w:ascii="Arial" w:eastAsia="Times New Roman" w:hAnsi="Arial" w:cs="Arial"/>
          <w:sz w:val="22"/>
          <w:szCs w:val="22"/>
          <w:lang w:eastAsia="cs-CZ"/>
        </w:rPr>
        <w:t xml:space="preserve"> bez závad. Za podstatné porušení se považuje:</w:t>
      </w:r>
    </w:p>
    <w:p w14:paraId="6E825C14" w14:textId="77777777" w:rsidR="001D39AF" w:rsidRPr="001D39AF" w:rsidRDefault="001D39AF" w:rsidP="001D39AF">
      <w:pPr>
        <w:numPr>
          <w:ilvl w:val="0"/>
          <w:numId w:val="33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V rozporu s podmínkami opakovaně uzavře nájemní smlouvu s osobou, která nespadá do cílové skupiny. </w:t>
      </w:r>
    </w:p>
    <w:p w14:paraId="1A135B96" w14:textId="77777777" w:rsidR="001D39AF" w:rsidRPr="001D39AF" w:rsidRDefault="49FB9822" w:rsidP="4047F266">
      <w:pPr>
        <w:numPr>
          <w:ilvl w:val="0"/>
          <w:numId w:val="33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Převod bytu, který je předmětem tohoto pověření, na jinou osobu, bez souhlasu pověřovatele.</w:t>
      </w:r>
    </w:p>
    <w:p w14:paraId="73AD47C1" w14:textId="77777777" w:rsidR="001D39AF" w:rsidRPr="001D39AF" w:rsidRDefault="001D39AF" w:rsidP="001D39AF">
      <w:pPr>
        <w:spacing w:before="360" w:after="120"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Článek VII.</w:t>
      </w:r>
    </w:p>
    <w:p w14:paraId="59A6B524" w14:textId="77777777" w:rsidR="001D39AF" w:rsidRPr="001D39AF" w:rsidRDefault="001D39AF" w:rsidP="001D39AF">
      <w:pPr>
        <w:spacing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Trvání pověřovacího aktu</w:t>
      </w:r>
    </w:p>
    <w:p w14:paraId="6B8013FF" w14:textId="77777777" w:rsidR="001D39AF" w:rsidRPr="001D39AF" w:rsidRDefault="001D39AF" w:rsidP="001D39AF">
      <w:pPr>
        <w:numPr>
          <w:ilvl w:val="0"/>
          <w:numId w:val="28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Pověřovací akt se uzavírá v kalendářních letech na dobu určitou 20 let.  </w:t>
      </w:r>
    </w:p>
    <w:p w14:paraId="0088574D" w14:textId="08F0BCB3" w:rsidR="001D39AF" w:rsidRPr="001D39AF" w:rsidRDefault="27AC65AA" w:rsidP="5AC59919">
      <w:pPr>
        <w:numPr>
          <w:ilvl w:val="0"/>
          <w:numId w:val="28"/>
        </w:numPr>
        <w:spacing w:after="0" w:line="271" w:lineRule="auto"/>
        <w:contextualSpacing/>
        <w:jc w:val="left"/>
        <w:rPr>
          <w:rFonts w:ascii="Arial" w:eastAsia="Arial" w:hAnsi="Arial" w:cs="Arial"/>
          <w:kern w:val="0"/>
          <w14:ligatures w14:val="none"/>
        </w:rPr>
      </w:pPr>
      <w:r w:rsidRPr="5AC59919">
        <w:rPr>
          <w:rFonts w:ascii="Arial" w:eastAsia="Arial" w:hAnsi="Arial" w:cs="Arial"/>
        </w:rPr>
        <w:t xml:space="preserve">Pověřovací akt je platný a účinný ode dne podpisu obou stran.  </w:t>
      </w:r>
    </w:p>
    <w:p w14:paraId="3650D63C" w14:textId="548180AF" w:rsidR="001D39AF" w:rsidRPr="001D39AF" w:rsidRDefault="001D39AF" w:rsidP="001D39AF">
      <w:pPr>
        <w:numPr>
          <w:ilvl w:val="0"/>
          <w:numId w:val="28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Před uplynutím lhůty uvedené v odstavci 1 může být Pověřovací akt ukončen písemnou dohodou smluvních stran, nebo odstoupením od Pověřovacího aktu z důvodu uvedeným v čl. VI. bod 9. </w:t>
      </w:r>
    </w:p>
    <w:p w14:paraId="56378946" w14:textId="36419039" w:rsidR="001D39AF" w:rsidRPr="009A6D9C" w:rsidRDefault="001D39AF" w:rsidP="5A6E5753">
      <w:pPr>
        <w:numPr>
          <w:ilvl w:val="0"/>
          <w:numId w:val="28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Arial" w:hAnsi="Arial" w:cs="Arial"/>
          <w:kern w:val="0"/>
          <w:sz w:val="22"/>
          <w:szCs w:val="22"/>
          <w:lang w:eastAsia="cs-CZ"/>
          <w14:ligatures w14:val="none"/>
        </w:rPr>
        <w:t>V případě, že dojde ze strany poskytovatele SOHZ k předčasnému ukončení výkonu SOHZ</w:t>
      </w:r>
      <w:r w:rsidR="6BD07BA5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dostupného</w:t>
      </w:r>
      <w:r w:rsidRPr="001D39AF">
        <w:rPr>
          <w:rFonts w:ascii="Arial" w:eastAsia="Arial" w:hAnsi="Arial" w:cs="Arial"/>
          <w:kern w:val="0"/>
          <w:sz w:val="22"/>
          <w:szCs w:val="22"/>
          <w:lang w:eastAsia="cs-CZ"/>
          <w14:ligatures w14:val="none"/>
        </w:rPr>
        <w:t xml:space="preserve"> bydlení, bude poskytovateli SOHZ vyměřena, v souladu se zásadami proporcionality, finanční oprava odpovídající </w:t>
      </w:r>
      <w:r w:rsidRPr="009A6D9C">
        <w:rPr>
          <w:rFonts w:ascii="Arial" w:eastAsia="Arial" w:hAnsi="Arial" w:cs="Arial"/>
          <w:kern w:val="0"/>
          <w:sz w:val="22"/>
          <w:szCs w:val="22"/>
          <w:lang w:eastAsia="cs-CZ"/>
          <w14:ligatures w14:val="none"/>
        </w:rPr>
        <w:t>podezření na porušení rozpočtové kázně.</w:t>
      </w:r>
    </w:p>
    <w:p w14:paraId="028E7DEC" w14:textId="6F3562CB" w:rsidR="4AE9B9AB" w:rsidRPr="00590F19" w:rsidRDefault="27712CAE" w:rsidP="78931ED3">
      <w:pPr>
        <w:numPr>
          <w:ilvl w:val="0"/>
          <w:numId w:val="28"/>
        </w:numPr>
        <w:spacing w:after="0" w:line="271" w:lineRule="auto"/>
        <w:contextualSpacing/>
        <w:jc w:val="left"/>
        <w:rPr>
          <w:rFonts w:ascii="Arial" w:eastAsia="Times New Roman" w:hAnsi="Arial" w:cs="Arial"/>
          <w:sz w:val="22"/>
          <w:szCs w:val="22"/>
          <w:lang w:eastAsia="cs-CZ"/>
        </w:rPr>
      </w:pPr>
      <w:r w:rsidRPr="00590F19">
        <w:rPr>
          <w:sz w:val="22"/>
          <w:szCs w:val="22"/>
        </w:rPr>
        <w:t>Délka pověření dle čl. VII. odst. 1 může být prodloužena písemnou dohodou smluvních stran v průběhu trvání tohoto pověřovacího aktu. V případě prodloužení pověřovatel a poskytovatel SOHZ sociální bydlení upraví přílohu č. 2 – Model pro kontrolu nadměrného vyrovnání tak, aby zohlednila prodlouženou dobu poskytování SOHZ sociální bydlení.</w:t>
      </w:r>
    </w:p>
    <w:p w14:paraId="2680D5B4" w14:textId="5CEF1B2A" w:rsidR="5A6E5753" w:rsidRDefault="5A6E5753" w:rsidP="00C2170D">
      <w:pPr>
        <w:spacing w:after="0" w:line="271" w:lineRule="auto"/>
        <w:ind w:left="708"/>
        <w:contextualSpacing/>
        <w:jc w:val="left"/>
        <w:rPr>
          <w:rFonts w:ascii="Arial" w:eastAsia="Arial" w:hAnsi="Arial" w:cs="Arial"/>
          <w:sz w:val="22"/>
          <w:szCs w:val="22"/>
          <w:lang w:eastAsia="cs-CZ"/>
        </w:rPr>
      </w:pPr>
    </w:p>
    <w:p w14:paraId="2B9A153A" w14:textId="77777777" w:rsidR="001D39AF" w:rsidRPr="001D39AF" w:rsidRDefault="001D39AF" w:rsidP="001D39AF">
      <w:pPr>
        <w:spacing w:before="360" w:after="120"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Článek VIII.</w:t>
      </w:r>
    </w:p>
    <w:p w14:paraId="512D20E5" w14:textId="77777777" w:rsidR="001D39AF" w:rsidRPr="001D39AF" w:rsidRDefault="001D39AF" w:rsidP="001D39AF">
      <w:pPr>
        <w:spacing w:line="271" w:lineRule="auto"/>
        <w:jc w:val="center"/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b/>
          <w:smallCaps/>
          <w:kern w:val="0"/>
          <w:sz w:val="22"/>
          <w:szCs w:val="22"/>
          <w14:ligatures w14:val="none"/>
        </w:rPr>
        <w:t>Závěrečná ustanovení</w:t>
      </w:r>
    </w:p>
    <w:p w14:paraId="4B53CE54" w14:textId="0C1C77FB" w:rsidR="001D39AF" w:rsidRPr="001D39AF" w:rsidRDefault="001D39AF" w:rsidP="001D39AF">
      <w:pPr>
        <w:numPr>
          <w:ilvl w:val="0"/>
          <w:numId w:val="27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Poskytovatel prohlašuje a podpisem Pověřovacího aktu stvrzuje, že byl před podpisem Pověřovacího aktu řádně a podrobně seznámen s podmínkami výkonu SOHZ </w:t>
      </w:r>
      <w:r w:rsidR="00277399" w:rsidRPr="009A6D9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dostupného</w:t>
      </w:r>
      <w:r w:rsidR="0027739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bydlení, bere na vědomí všechny stanovené podmínky, vyslovuje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lastRenderedPageBreak/>
        <w:t>s nimi svůj bezvýhradný souhlas a zavazuje se k jejich plnění, stejně jako k plnění závazků vyplývajících mu z Pověřovacího aktu.</w:t>
      </w:r>
    </w:p>
    <w:p w14:paraId="691F3DE3" w14:textId="77777777" w:rsidR="001D39AF" w:rsidRPr="001D39AF" w:rsidRDefault="001D39AF" w:rsidP="001D39AF">
      <w:pPr>
        <w:numPr>
          <w:ilvl w:val="0"/>
          <w:numId w:val="27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Smluvní strany jsou povinny jednat způsobem, který neohrožuje zájmy smluvních stran, a jsou povinny zdržet se jakékoliv činnosti, která by mohla znemožnit nebo ztížit plnění předmětu Pověřovacího aktu.</w:t>
      </w:r>
    </w:p>
    <w:p w14:paraId="6E961157" w14:textId="77777777" w:rsidR="001D39AF" w:rsidRPr="001D39AF" w:rsidRDefault="001D39AF" w:rsidP="001D39AF">
      <w:pPr>
        <w:numPr>
          <w:ilvl w:val="0"/>
          <w:numId w:val="27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Jakékoliv změny Pověřovacího aktu lze provádět pouze formou vzestupně číslovaných písemných dodatků na základě dohody obou smluvních stran.</w:t>
      </w:r>
    </w:p>
    <w:p w14:paraId="0E243BAE" w14:textId="3B338225" w:rsidR="001D39AF" w:rsidRPr="001D39AF" w:rsidRDefault="001D39AF" w:rsidP="001D39AF">
      <w:pPr>
        <w:numPr>
          <w:ilvl w:val="0"/>
          <w:numId w:val="27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Pověřovací akt je vyhotoven v jednom stejnopise v elektronické podobě. Každá ze smluvních stran obdrží stejnopis opatřen kvalifikovanými elektronickými podpisy. </w:t>
      </w:r>
    </w:p>
    <w:p w14:paraId="1F124C78" w14:textId="2A917174" w:rsidR="001D39AF" w:rsidRPr="001D39AF" w:rsidRDefault="001D39AF" w:rsidP="001D39AF">
      <w:pPr>
        <w:numPr>
          <w:ilvl w:val="0"/>
          <w:numId w:val="27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Nedílnou součástí Pověřovacího aktu </w:t>
      </w:r>
      <w:r w:rsidR="0027739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je </w:t>
      </w: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Model pro kontrolu nadměrného vyrovnání.</w:t>
      </w:r>
    </w:p>
    <w:p w14:paraId="1C0C4B4C" w14:textId="77777777" w:rsidR="001D39AF" w:rsidRPr="001D39AF" w:rsidRDefault="001D39AF" w:rsidP="001D39AF">
      <w:pPr>
        <w:numPr>
          <w:ilvl w:val="0"/>
          <w:numId w:val="27"/>
        </w:numPr>
        <w:spacing w:after="0" w:line="271" w:lineRule="auto"/>
        <w:contextualSpacing/>
        <w:jc w:val="left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1D39A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Obě smluvní strany prohlašují, že Pověřovací akt byl uzavřen a sepsán na základě pravdivých údajů, podle jejich svobodné a vážné vůle, nikoli v tísni a za nápadně nevýhodných podmínek, a na důkaz toho připojují své vlastnoruční podpisy.</w:t>
      </w:r>
    </w:p>
    <w:p w14:paraId="1EB162D3" w14:textId="77777777" w:rsidR="001D39AF" w:rsidRPr="001D39AF" w:rsidRDefault="001D39AF" w:rsidP="001D39AF">
      <w:pPr>
        <w:spacing w:line="271" w:lineRule="auto"/>
        <w:jc w:val="left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62905AE" w14:textId="77777777" w:rsidR="001D39AF" w:rsidRPr="001D39AF" w:rsidRDefault="001D39AF" w:rsidP="001D39AF">
      <w:pPr>
        <w:spacing w:after="200" w:line="271" w:lineRule="auto"/>
        <w:jc w:val="left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kern w:val="0"/>
          <w:sz w:val="22"/>
          <w:szCs w:val="22"/>
          <w14:ligatures w14:val="none"/>
        </w:rPr>
        <w:t>v Praze dne (viz datum elektronického podpisu)</w:t>
      </w: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2718"/>
        <w:gridCol w:w="3161"/>
      </w:tblGrid>
      <w:tr w:rsidR="001D39AF" w:rsidRPr="001D39AF" w14:paraId="2F9D3D78" w14:textId="77777777" w:rsidTr="00DF7EB9">
        <w:tc>
          <w:tcPr>
            <w:tcW w:w="3193" w:type="dxa"/>
          </w:tcPr>
          <w:p w14:paraId="3ECBB38F" w14:textId="77777777" w:rsidR="001D39AF" w:rsidRPr="001D39AF" w:rsidRDefault="001D39AF" w:rsidP="001D39AF">
            <w:pPr>
              <w:spacing w:after="200" w:line="271" w:lineRule="auto"/>
              <w:rPr>
                <w:rFonts w:ascii="Arial" w:eastAsia="Calibri" w:hAnsi="Arial" w:cs="Arial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27B45C80" w14:textId="77777777" w:rsidR="001D39AF" w:rsidRPr="001D39AF" w:rsidRDefault="001D39AF" w:rsidP="001D39AF">
            <w:pPr>
              <w:spacing w:after="200" w:line="271" w:lineRule="auto"/>
              <w:rPr>
                <w:rFonts w:ascii="Arial" w:eastAsia="Calibri" w:hAnsi="Arial" w:cs="Arial"/>
              </w:rPr>
            </w:pPr>
          </w:p>
        </w:tc>
        <w:tc>
          <w:tcPr>
            <w:tcW w:w="3161" w:type="dxa"/>
          </w:tcPr>
          <w:p w14:paraId="4D4D7563" w14:textId="77777777" w:rsidR="001D39AF" w:rsidRPr="001D39AF" w:rsidRDefault="001D39AF" w:rsidP="001D39AF">
            <w:pPr>
              <w:spacing w:after="200" w:line="271" w:lineRule="auto"/>
              <w:rPr>
                <w:rFonts w:ascii="Arial" w:eastAsia="Calibri" w:hAnsi="Arial" w:cs="Arial"/>
              </w:rPr>
            </w:pPr>
          </w:p>
        </w:tc>
      </w:tr>
      <w:tr w:rsidR="001D39AF" w:rsidRPr="001D39AF" w14:paraId="6F3A363D" w14:textId="77777777" w:rsidTr="00DF7EB9">
        <w:tc>
          <w:tcPr>
            <w:tcW w:w="3193" w:type="dxa"/>
          </w:tcPr>
          <w:p w14:paraId="3E4BEAA7" w14:textId="77777777" w:rsidR="001D39AF" w:rsidRPr="001D39AF" w:rsidRDefault="001D39AF" w:rsidP="001D39AF">
            <w:pPr>
              <w:spacing w:after="200" w:line="271" w:lineRule="auto"/>
              <w:jc w:val="center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Poskytovatel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0175DC24" w14:textId="77777777" w:rsidR="001D39AF" w:rsidRPr="001D39AF" w:rsidRDefault="001D39AF" w:rsidP="001D39AF">
            <w:pPr>
              <w:spacing w:after="200" w:line="271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161" w:type="dxa"/>
          </w:tcPr>
          <w:p w14:paraId="218B11E5" w14:textId="77777777" w:rsidR="001D39AF" w:rsidRPr="001D39AF" w:rsidRDefault="001D39AF" w:rsidP="001D39AF">
            <w:pPr>
              <w:spacing w:after="200" w:line="271" w:lineRule="auto"/>
              <w:jc w:val="center"/>
              <w:rPr>
                <w:rFonts w:ascii="Arial" w:eastAsia="Calibri" w:hAnsi="Arial" w:cs="Arial"/>
              </w:rPr>
            </w:pPr>
            <w:r w:rsidRPr="001D39AF">
              <w:rPr>
                <w:rFonts w:ascii="Arial" w:eastAsia="Calibri" w:hAnsi="Arial" w:cs="Arial"/>
              </w:rPr>
              <w:t>Pověřovatel</w:t>
            </w:r>
          </w:p>
        </w:tc>
      </w:tr>
    </w:tbl>
    <w:p w14:paraId="273FA268" w14:textId="77777777" w:rsidR="001D39AF" w:rsidRPr="001D39AF" w:rsidRDefault="001D39AF" w:rsidP="001D39AF">
      <w:pPr>
        <w:spacing w:after="200" w:line="271" w:lineRule="auto"/>
        <w:jc w:val="left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57AB655" w14:textId="71C72B57" w:rsidR="001D39AF" w:rsidRPr="001D39AF" w:rsidRDefault="001D39AF" w:rsidP="001D39AF">
      <w:pPr>
        <w:spacing w:after="200" w:line="271" w:lineRule="auto"/>
        <w:jc w:val="left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D39A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Příloha č. </w:t>
      </w:r>
      <w:r w:rsidR="0027739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1 </w:t>
      </w:r>
      <w:r w:rsidRPr="001D39AF">
        <w:rPr>
          <w:rFonts w:ascii="Arial" w:eastAsia="Calibri" w:hAnsi="Arial" w:cs="Arial"/>
          <w:kern w:val="0"/>
          <w:sz w:val="22"/>
          <w:szCs w:val="22"/>
          <w14:ligatures w14:val="none"/>
        </w:rPr>
        <w:t>– Model pro kontrolu nadměrného vyrovnání</w:t>
      </w:r>
      <w:bookmarkEnd w:id="0"/>
      <w:bookmarkEnd w:id="1"/>
    </w:p>
    <w:sectPr w:rsidR="001D39AF" w:rsidRPr="001D39AF" w:rsidSect="00BE2E0B">
      <w:headerReference w:type="default" r:id="rId11"/>
      <w:footerReference w:type="default" r:id="rId1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BB5E4" w14:textId="77777777" w:rsidR="00C45587" w:rsidRDefault="00C45587" w:rsidP="004A01A7">
      <w:pPr>
        <w:spacing w:after="0" w:line="240" w:lineRule="auto"/>
      </w:pPr>
      <w:r>
        <w:separator/>
      </w:r>
    </w:p>
  </w:endnote>
  <w:endnote w:type="continuationSeparator" w:id="0">
    <w:p w14:paraId="22CFB948" w14:textId="77777777" w:rsidR="00C45587" w:rsidRDefault="00C45587" w:rsidP="004A01A7">
      <w:pPr>
        <w:spacing w:after="0" w:line="240" w:lineRule="auto"/>
      </w:pPr>
      <w:r>
        <w:continuationSeparator/>
      </w:r>
    </w:p>
  </w:endnote>
  <w:endnote w:type="continuationNotice" w:id="1">
    <w:p w14:paraId="29D14108" w14:textId="77777777" w:rsidR="00C45587" w:rsidRDefault="00C455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5B42" w14:textId="51297F19" w:rsidR="004977D7" w:rsidRDefault="00EE5149" w:rsidP="004977D7">
    <w:pPr>
      <w:pStyle w:val="Zpat"/>
    </w:pPr>
    <w:r w:rsidRPr="00EE5149">
      <w:t>Ministerstvo pro místní rozvoj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4A7BD6A2" w14:textId="717149B9" w:rsidR="004977D7" w:rsidRDefault="00EE5149" w:rsidP="004977D7">
    <w:pPr>
      <w:pStyle w:val="Zpat"/>
    </w:pPr>
    <w:r w:rsidRPr="00EE5149">
      <w:t>Staroměstské náměstí 6, 110 00 Praha 1</w:t>
    </w:r>
    <w:r w:rsidR="004977D7">
      <w:tab/>
    </w:r>
    <w:r w:rsidR="004977D7">
      <w:tab/>
    </w:r>
  </w:p>
  <w:p w14:paraId="0BE5CEA9" w14:textId="728B3453" w:rsidR="004A01A7" w:rsidRPr="004977D7" w:rsidRDefault="00EE5149" w:rsidP="004977D7">
    <w:pPr>
      <w:pStyle w:val="Zpat"/>
    </w:pPr>
    <w:r w:rsidRPr="00EE5149">
      <w:t>IČ: 66002222, T: +420 224 861 111, ID DS: 26iaava</w:t>
    </w:r>
    <w:r w:rsidR="004977D7">
      <w:tab/>
    </w:r>
    <w:r w:rsidR="004977D7">
      <w:tab/>
    </w:r>
    <w:hyperlink r:id="rId1" w:history="1">
      <w:r>
        <w:t>mmr.gov.cz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706BC" w14:textId="77777777" w:rsidR="00C45587" w:rsidRDefault="00C45587" w:rsidP="004A01A7">
      <w:pPr>
        <w:spacing w:after="0" w:line="240" w:lineRule="auto"/>
      </w:pPr>
    </w:p>
  </w:footnote>
  <w:footnote w:type="continuationSeparator" w:id="0">
    <w:p w14:paraId="7D64889D" w14:textId="77777777" w:rsidR="00C45587" w:rsidRDefault="00C45587" w:rsidP="004A01A7">
      <w:pPr>
        <w:spacing w:after="0" w:line="240" w:lineRule="auto"/>
      </w:pPr>
      <w:r>
        <w:continuationSeparator/>
      </w:r>
    </w:p>
  </w:footnote>
  <w:footnote w:type="continuationNotice" w:id="1">
    <w:p w14:paraId="08F51ABD" w14:textId="77777777" w:rsidR="00C45587" w:rsidRDefault="00C45587">
      <w:pPr>
        <w:spacing w:after="0" w:line="240" w:lineRule="auto"/>
      </w:pPr>
    </w:p>
  </w:footnote>
  <w:footnote w:id="2">
    <w:p w14:paraId="3EB1110D" w14:textId="00D6A823" w:rsidR="001D39AF" w:rsidRPr="005C69A9" w:rsidRDefault="001D39AF" w:rsidP="001D39AF">
      <w:pPr>
        <w:pStyle w:val="Textpoznpodarou"/>
        <w:rPr>
          <w:rFonts w:ascii="Arial" w:hAnsi="Arial" w:cs="Arial"/>
          <w:sz w:val="18"/>
          <w:szCs w:val="18"/>
        </w:rPr>
      </w:pPr>
      <w:r w:rsidRPr="00AE1A5E">
        <w:rPr>
          <w:rStyle w:val="Znakapoznpodarou"/>
          <w:rFonts w:ascii="Arial" w:hAnsi="Arial" w:cs="Arial"/>
          <w:sz w:val="18"/>
          <w:szCs w:val="18"/>
        </w:rPr>
        <w:footnoteRef/>
      </w:r>
      <w:r w:rsidRPr="00AE1A5E">
        <w:rPr>
          <w:rFonts w:ascii="Arial" w:hAnsi="Arial" w:cs="Arial"/>
          <w:sz w:val="18"/>
          <w:szCs w:val="18"/>
        </w:rPr>
        <w:t xml:space="preserve"> </w:t>
      </w:r>
      <w:r w:rsidR="009C2B9D" w:rsidRPr="00AE1A5E">
        <w:t xml:space="preserve"> </w:t>
      </w:r>
      <w:r w:rsidR="009C2B9D" w:rsidRPr="00AE1A5E">
        <w:rPr>
          <w:rFonts w:ascii="Arial" w:hAnsi="Arial" w:cs="Arial"/>
          <w:sz w:val="18"/>
          <w:szCs w:val="18"/>
        </w:rPr>
        <w:t>Úř. věst. L, 19. 12. 2025, ELI: http://data.europa.eu/eli/dec/2025/2630/oj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71E80B4E" w14:textId="77777777" w:rsidTr="00EE5149">
      <w:trPr>
        <w:jc w:val="right"/>
      </w:trPr>
      <w:tc>
        <w:tcPr>
          <w:tcW w:w="4253" w:type="dxa"/>
        </w:tcPr>
        <w:p w14:paraId="445AFEA6" w14:textId="6431728D" w:rsidR="003208E6" w:rsidRDefault="003208E6" w:rsidP="00550B36">
          <w:pPr>
            <w:pStyle w:val="Zhlav"/>
          </w:pPr>
        </w:p>
      </w:tc>
    </w:tr>
    <w:tr w:rsidR="003208E6" w14:paraId="10AE9CB6" w14:textId="77777777" w:rsidTr="00EE5149">
      <w:trPr>
        <w:jc w:val="right"/>
      </w:trPr>
      <w:tc>
        <w:tcPr>
          <w:tcW w:w="4253" w:type="dxa"/>
        </w:tcPr>
        <w:p w14:paraId="6E06A9D7" w14:textId="58048967" w:rsidR="003208E6" w:rsidRDefault="003208E6" w:rsidP="00550B36">
          <w:pPr>
            <w:pStyle w:val="Zhlav"/>
          </w:pPr>
        </w:p>
      </w:tc>
    </w:tr>
    <w:tr w:rsidR="003208E6" w14:paraId="4FD1F3A5" w14:textId="77777777" w:rsidTr="00EE5149">
      <w:trPr>
        <w:jc w:val="right"/>
      </w:trPr>
      <w:tc>
        <w:tcPr>
          <w:tcW w:w="4253" w:type="dxa"/>
        </w:tcPr>
        <w:p w14:paraId="15BEB27C" w14:textId="69224EAF" w:rsidR="003208E6" w:rsidRDefault="003208E6" w:rsidP="00550B36">
          <w:pPr>
            <w:pStyle w:val="Zhlav"/>
          </w:pPr>
        </w:p>
      </w:tc>
    </w:tr>
  </w:tbl>
  <w:p w14:paraId="447CEE69" w14:textId="294CF91C" w:rsidR="004A01A7" w:rsidRDefault="00EE5149" w:rsidP="00550B36">
    <w:pPr>
      <w:pStyle w:val="Zhlav"/>
    </w:pPr>
    <w:bookmarkStart w:id="3" w:name="OLE_LINK8"/>
    <w:bookmarkStart w:id="4" w:name="OLE_LINK9"/>
    <w:bookmarkStart w:id="5" w:name="_Hlk216450999"/>
    <w:r w:rsidRPr="007F6154">
      <w:rPr>
        <w:noProof/>
      </w:rPr>
      <w:drawing>
        <wp:anchor distT="0" distB="0" distL="114300" distR="114300" simplePos="0" relativeHeight="251658240" behindDoc="0" locked="0" layoutInCell="1" allowOverlap="1" wp14:anchorId="08FD7E04" wp14:editId="36CB1650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0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0E7F"/>
    <w:multiLevelType w:val="hybridMultilevel"/>
    <w:tmpl w:val="7D44FBB8"/>
    <w:lvl w:ilvl="0" w:tplc="C47EBB3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4F1C03"/>
    <w:multiLevelType w:val="hybridMultilevel"/>
    <w:tmpl w:val="46D23C24"/>
    <w:lvl w:ilvl="0" w:tplc="586A605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sz w:val="20"/>
        <w:szCs w:val="20"/>
      </w:rPr>
    </w:lvl>
    <w:lvl w:ilvl="1" w:tplc="C47EBB30">
      <w:numFmt w:val="bullet"/>
      <w:lvlText w:val="-"/>
      <w:lvlJc w:val="left"/>
      <w:pPr>
        <w:ind w:left="1648" w:hanging="360"/>
      </w:pPr>
      <w:rPr>
        <w:rFonts w:ascii="Calibri" w:eastAsiaTheme="minorHAnsi" w:hAnsi="Calibri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A9117C"/>
    <w:multiLevelType w:val="multilevel"/>
    <w:tmpl w:val="3BE66384"/>
    <w:numStyleLink w:val="Stylseznamu-odrky"/>
  </w:abstractNum>
  <w:abstractNum w:abstractNumId="3" w15:restartNumberingAfterBreak="0">
    <w:nsid w:val="174263CB"/>
    <w:multiLevelType w:val="multilevel"/>
    <w:tmpl w:val="3BE66384"/>
    <w:numStyleLink w:val="Stylseznamu-odrky"/>
  </w:abstractNum>
  <w:abstractNum w:abstractNumId="4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BCC2635"/>
    <w:multiLevelType w:val="multilevel"/>
    <w:tmpl w:val="B87A9D68"/>
    <w:numStyleLink w:val="Stylseznamu-odstavceslovan"/>
  </w:abstractNum>
  <w:abstractNum w:abstractNumId="6" w15:restartNumberingAfterBreak="0">
    <w:nsid w:val="1E8C0E26"/>
    <w:multiLevelType w:val="hybridMultilevel"/>
    <w:tmpl w:val="5ED238A2"/>
    <w:lvl w:ilvl="0" w:tplc="30D6CE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A7C6F"/>
    <w:multiLevelType w:val="multilevel"/>
    <w:tmpl w:val="3BE66384"/>
    <w:numStyleLink w:val="Stylseznamu-odrky"/>
  </w:abstractNum>
  <w:abstractNum w:abstractNumId="8" w15:restartNumberingAfterBreak="0">
    <w:nsid w:val="3BAC6C15"/>
    <w:multiLevelType w:val="hybridMultilevel"/>
    <w:tmpl w:val="CE0C5024"/>
    <w:lvl w:ilvl="0" w:tplc="282C6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A4253"/>
    <w:multiLevelType w:val="multilevel"/>
    <w:tmpl w:val="3BE66384"/>
    <w:numStyleLink w:val="Stylseznamu-odrky"/>
  </w:abstractNum>
  <w:abstractNum w:abstractNumId="10" w15:restartNumberingAfterBreak="0">
    <w:nsid w:val="4FD266F6"/>
    <w:multiLevelType w:val="multilevel"/>
    <w:tmpl w:val="3BE66384"/>
    <w:numStyleLink w:val="Stylseznamu-odrky"/>
  </w:abstractNum>
  <w:abstractNum w:abstractNumId="11" w15:restartNumberingAfterBreak="0">
    <w:nsid w:val="507C7313"/>
    <w:multiLevelType w:val="multilevel"/>
    <w:tmpl w:val="B87A9D68"/>
    <w:numStyleLink w:val="Stylseznamu-odstavceslovan"/>
  </w:abstractNum>
  <w:abstractNum w:abstractNumId="12" w15:restartNumberingAfterBreak="0">
    <w:nsid w:val="528219F0"/>
    <w:multiLevelType w:val="multilevel"/>
    <w:tmpl w:val="599C2AC6"/>
    <w:numStyleLink w:val="Stylseznamu-nadpisyslovan"/>
  </w:abstractNum>
  <w:abstractNum w:abstractNumId="13" w15:restartNumberingAfterBreak="0">
    <w:nsid w:val="55427B69"/>
    <w:multiLevelType w:val="multilevel"/>
    <w:tmpl w:val="599C2AC6"/>
    <w:numStyleLink w:val="Stylseznamu-nadpisyslovan"/>
  </w:abstractNum>
  <w:abstractNum w:abstractNumId="14" w15:restartNumberingAfterBreak="0">
    <w:nsid w:val="56960494"/>
    <w:multiLevelType w:val="multilevel"/>
    <w:tmpl w:val="3BE66384"/>
    <w:numStyleLink w:val="Stylseznamu-odrky"/>
  </w:abstractNum>
  <w:abstractNum w:abstractNumId="15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A0E0C17"/>
    <w:multiLevelType w:val="multilevel"/>
    <w:tmpl w:val="599C2AC6"/>
    <w:numStyleLink w:val="Stylseznamu-nadpisyslovan"/>
  </w:abstractNum>
  <w:abstractNum w:abstractNumId="17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8EB5CE3"/>
    <w:multiLevelType w:val="hybridMultilevel"/>
    <w:tmpl w:val="6C2C57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93953"/>
    <w:multiLevelType w:val="multilevel"/>
    <w:tmpl w:val="599C2AC6"/>
    <w:numStyleLink w:val="Stylseznamu-nadpisyslovan"/>
  </w:abstractNum>
  <w:abstractNum w:abstractNumId="20" w15:restartNumberingAfterBreak="0">
    <w:nsid w:val="6AC979FD"/>
    <w:multiLevelType w:val="hybridMultilevel"/>
    <w:tmpl w:val="BD063D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64514B"/>
    <w:multiLevelType w:val="hybridMultilevel"/>
    <w:tmpl w:val="108643E6"/>
    <w:lvl w:ilvl="0" w:tplc="AFA00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035508"/>
    <w:multiLevelType w:val="hybridMultilevel"/>
    <w:tmpl w:val="F47CF8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47EBB30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052CCF"/>
    <w:multiLevelType w:val="multilevel"/>
    <w:tmpl w:val="3BE66384"/>
    <w:numStyleLink w:val="Stylseznamu-odrky"/>
  </w:abstractNum>
  <w:abstractNum w:abstractNumId="24" w15:restartNumberingAfterBreak="0">
    <w:nsid w:val="76765AF8"/>
    <w:multiLevelType w:val="hybridMultilevel"/>
    <w:tmpl w:val="AEF8E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56AC3"/>
    <w:multiLevelType w:val="multilevel"/>
    <w:tmpl w:val="B87A9D68"/>
    <w:numStyleLink w:val="Stylseznamu-odstavceslovan"/>
  </w:abstractNum>
  <w:abstractNum w:abstractNumId="26" w15:restartNumberingAfterBreak="0">
    <w:nsid w:val="7CA64431"/>
    <w:multiLevelType w:val="multilevel"/>
    <w:tmpl w:val="3BE66384"/>
    <w:numStyleLink w:val="Stylseznamu-odrky"/>
  </w:abstractNum>
  <w:abstractNum w:abstractNumId="27" w15:restartNumberingAfterBreak="0">
    <w:nsid w:val="7D85321F"/>
    <w:multiLevelType w:val="hybridMultilevel"/>
    <w:tmpl w:val="A022D6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397BA4"/>
    <w:multiLevelType w:val="multilevel"/>
    <w:tmpl w:val="599C2AC6"/>
    <w:numStyleLink w:val="Stylseznamu-nadpisyslovan"/>
  </w:abstractNum>
  <w:abstractNum w:abstractNumId="29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9"/>
  </w:num>
  <w:num w:numId="2" w16cid:durableId="304243697">
    <w:abstractNumId w:val="15"/>
  </w:num>
  <w:num w:numId="3" w16cid:durableId="20265888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12"/>
  </w:num>
  <w:num w:numId="5" w16cid:durableId="1339186929">
    <w:abstractNumId w:val="28"/>
  </w:num>
  <w:num w:numId="6" w16cid:durableId="1737124859">
    <w:abstractNumId w:val="16"/>
  </w:num>
  <w:num w:numId="7" w16cid:durableId="200482209">
    <w:abstractNumId w:val="13"/>
  </w:num>
  <w:num w:numId="8" w16cid:durableId="2111312322">
    <w:abstractNumId w:val="4"/>
  </w:num>
  <w:num w:numId="9" w16cid:durableId="2848970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5"/>
  </w:num>
  <w:num w:numId="11" w16cid:durableId="627398554">
    <w:abstractNumId w:val="25"/>
  </w:num>
  <w:num w:numId="12" w16cid:durableId="1445079522">
    <w:abstractNumId w:val="17"/>
  </w:num>
  <w:num w:numId="13" w16cid:durableId="879823075">
    <w:abstractNumId w:val="3"/>
  </w:num>
  <w:num w:numId="14" w16cid:durableId="796529861">
    <w:abstractNumId w:val="26"/>
  </w:num>
  <w:num w:numId="15" w16cid:durableId="165413013">
    <w:abstractNumId w:val="23"/>
  </w:num>
  <w:num w:numId="16" w16cid:durableId="608591211">
    <w:abstractNumId w:val="2"/>
  </w:num>
  <w:num w:numId="17" w16cid:durableId="1669139136">
    <w:abstractNumId w:val="7"/>
  </w:num>
  <w:num w:numId="18" w16cid:durableId="2135248819">
    <w:abstractNumId w:val="9"/>
  </w:num>
  <w:num w:numId="19" w16cid:durableId="831679160">
    <w:abstractNumId w:val="14"/>
  </w:num>
  <w:num w:numId="20" w16cid:durableId="374815673">
    <w:abstractNumId w:val="19"/>
  </w:num>
  <w:num w:numId="21" w16cid:durableId="80033043">
    <w:abstractNumId w:val="11"/>
  </w:num>
  <w:num w:numId="22" w16cid:durableId="1204829006">
    <w:abstractNumId w:val="10"/>
  </w:num>
  <w:num w:numId="23" w16cid:durableId="7464576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8521501">
    <w:abstractNumId w:val="18"/>
  </w:num>
  <w:num w:numId="25" w16cid:durableId="647630641">
    <w:abstractNumId w:val="8"/>
  </w:num>
  <w:num w:numId="26" w16cid:durableId="503977091">
    <w:abstractNumId w:val="24"/>
  </w:num>
  <w:num w:numId="27" w16cid:durableId="1963150384">
    <w:abstractNumId w:val="20"/>
  </w:num>
  <w:num w:numId="28" w16cid:durableId="699092478">
    <w:abstractNumId w:val="27"/>
  </w:num>
  <w:num w:numId="29" w16cid:durableId="563757410">
    <w:abstractNumId w:val="1"/>
  </w:num>
  <w:num w:numId="30" w16cid:durableId="905844962">
    <w:abstractNumId w:val="22"/>
  </w:num>
  <w:num w:numId="31" w16cid:durableId="821043184">
    <w:abstractNumId w:val="21"/>
  </w:num>
  <w:num w:numId="32" w16cid:durableId="2119714242">
    <w:abstractNumId w:val="6"/>
  </w:num>
  <w:num w:numId="33" w16cid:durableId="33299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trackRevisions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99"/>
    <w:rsid w:val="000106FE"/>
    <w:rsid w:val="000120B4"/>
    <w:rsid w:val="0002560E"/>
    <w:rsid w:val="000263F6"/>
    <w:rsid w:val="00032CCE"/>
    <w:rsid w:val="00035F16"/>
    <w:rsid w:val="000360B9"/>
    <w:rsid w:val="00043335"/>
    <w:rsid w:val="00054392"/>
    <w:rsid w:val="0005510C"/>
    <w:rsid w:val="0007091A"/>
    <w:rsid w:val="00071F0F"/>
    <w:rsid w:val="00083A55"/>
    <w:rsid w:val="00085436"/>
    <w:rsid w:val="000968A9"/>
    <w:rsid w:val="000B4F0B"/>
    <w:rsid w:val="000C11F2"/>
    <w:rsid w:val="000C2452"/>
    <w:rsid w:val="000C3DEA"/>
    <w:rsid w:val="000C67FA"/>
    <w:rsid w:val="000C68F4"/>
    <w:rsid w:val="000D2954"/>
    <w:rsid w:val="000E00C3"/>
    <w:rsid w:val="000E3099"/>
    <w:rsid w:val="000F141D"/>
    <w:rsid w:val="000F5A54"/>
    <w:rsid w:val="00100324"/>
    <w:rsid w:val="00102994"/>
    <w:rsid w:val="00120442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3E5E"/>
    <w:rsid w:val="00164790"/>
    <w:rsid w:val="001712FE"/>
    <w:rsid w:val="00171B3E"/>
    <w:rsid w:val="001754A5"/>
    <w:rsid w:val="00175680"/>
    <w:rsid w:val="001909FA"/>
    <w:rsid w:val="001D39AF"/>
    <w:rsid w:val="001D719A"/>
    <w:rsid w:val="001E1B82"/>
    <w:rsid w:val="001E417F"/>
    <w:rsid w:val="001E513B"/>
    <w:rsid w:val="001E691A"/>
    <w:rsid w:val="001F493F"/>
    <w:rsid w:val="002000F6"/>
    <w:rsid w:val="002013B0"/>
    <w:rsid w:val="0021206D"/>
    <w:rsid w:val="00216463"/>
    <w:rsid w:val="00222610"/>
    <w:rsid w:val="002234D1"/>
    <w:rsid w:val="002363CA"/>
    <w:rsid w:val="0024676C"/>
    <w:rsid w:val="00260DCA"/>
    <w:rsid w:val="00275B42"/>
    <w:rsid w:val="00277399"/>
    <w:rsid w:val="00280346"/>
    <w:rsid w:val="00280D21"/>
    <w:rsid w:val="0028101B"/>
    <w:rsid w:val="002826B4"/>
    <w:rsid w:val="00283F52"/>
    <w:rsid w:val="00293F29"/>
    <w:rsid w:val="00297C33"/>
    <w:rsid w:val="002C3244"/>
    <w:rsid w:val="002D11B9"/>
    <w:rsid w:val="002D2F50"/>
    <w:rsid w:val="002D796B"/>
    <w:rsid w:val="002F7004"/>
    <w:rsid w:val="0030061B"/>
    <w:rsid w:val="00302C43"/>
    <w:rsid w:val="00303A0E"/>
    <w:rsid w:val="003206E7"/>
    <w:rsid w:val="003208E6"/>
    <w:rsid w:val="0032285E"/>
    <w:rsid w:val="003351B8"/>
    <w:rsid w:val="003436AB"/>
    <w:rsid w:val="003540FA"/>
    <w:rsid w:val="00356332"/>
    <w:rsid w:val="00363815"/>
    <w:rsid w:val="003654CD"/>
    <w:rsid w:val="00370110"/>
    <w:rsid w:val="00372598"/>
    <w:rsid w:val="003777C4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0696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3E54"/>
    <w:rsid w:val="00436EC2"/>
    <w:rsid w:val="00450156"/>
    <w:rsid w:val="00453D04"/>
    <w:rsid w:val="00454DC7"/>
    <w:rsid w:val="004573FA"/>
    <w:rsid w:val="004607B2"/>
    <w:rsid w:val="00463047"/>
    <w:rsid w:val="0046727D"/>
    <w:rsid w:val="004723B2"/>
    <w:rsid w:val="004926FC"/>
    <w:rsid w:val="00493ED9"/>
    <w:rsid w:val="004977D7"/>
    <w:rsid w:val="004A01A7"/>
    <w:rsid w:val="004A09C5"/>
    <w:rsid w:val="004A38DD"/>
    <w:rsid w:val="004B4A94"/>
    <w:rsid w:val="004C2E3E"/>
    <w:rsid w:val="004C7DCA"/>
    <w:rsid w:val="004D725C"/>
    <w:rsid w:val="004E5D65"/>
    <w:rsid w:val="004E7E0E"/>
    <w:rsid w:val="004F0EF5"/>
    <w:rsid w:val="004F4063"/>
    <w:rsid w:val="00500251"/>
    <w:rsid w:val="00500A63"/>
    <w:rsid w:val="00502FCA"/>
    <w:rsid w:val="00511903"/>
    <w:rsid w:val="00521746"/>
    <w:rsid w:val="00534403"/>
    <w:rsid w:val="005367EF"/>
    <w:rsid w:val="00542A56"/>
    <w:rsid w:val="00542CA8"/>
    <w:rsid w:val="00550B36"/>
    <w:rsid w:val="00553ACE"/>
    <w:rsid w:val="005548CD"/>
    <w:rsid w:val="00554FC7"/>
    <w:rsid w:val="0055531A"/>
    <w:rsid w:val="00560EC8"/>
    <w:rsid w:val="00562599"/>
    <w:rsid w:val="00562879"/>
    <w:rsid w:val="00563A5F"/>
    <w:rsid w:val="00563FE8"/>
    <w:rsid w:val="0056491C"/>
    <w:rsid w:val="00564F2B"/>
    <w:rsid w:val="005801BB"/>
    <w:rsid w:val="005821AD"/>
    <w:rsid w:val="005865A4"/>
    <w:rsid w:val="00586756"/>
    <w:rsid w:val="0058729F"/>
    <w:rsid w:val="00590F19"/>
    <w:rsid w:val="0059481F"/>
    <w:rsid w:val="005970F5"/>
    <w:rsid w:val="005A012C"/>
    <w:rsid w:val="005A4EC9"/>
    <w:rsid w:val="005A60C3"/>
    <w:rsid w:val="005C14EB"/>
    <w:rsid w:val="005C29C9"/>
    <w:rsid w:val="00601DFE"/>
    <w:rsid w:val="00604492"/>
    <w:rsid w:val="006051FE"/>
    <w:rsid w:val="00606CF5"/>
    <w:rsid w:val="00607675"/>
    <w:rsid w:val="006120D2"/>
    <w:rsid w:val="00622D29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86151"/>
    <w:rsid w:val="0069631F"/>
    <w:rsid w:val="006C0860"/>
    <w:rsid w:val="006E7273"/>
    <w:rsid w:val="006F4755"/>
    <w:rsid w:val="006F51DB"/>
    <w:rsid w:val="006F6D67"/>
    <w:rsid w:val="00701984"/>
    <w:rsid w:val="00702BED"/>
    <w:rsid w:val="00703330"/>
    <w:rsid w:val="007049E6"/>
    <w:rsid w:val="00713213"/>
    <w:rsid w:val="007141CA"/>
    <w:rsid w:val="0071455E"/>
    <w:rsid w:val="00716F0E"/>
    <w:rsid w:val="00717042"/>
    <w:rsid w:val="007203F6"/>
    <w:rsid w:val="00724E67"/>
    <w:rsid w:val="0073040F"/>
    <w:rsid w:val="007371E0"/>
    <w:rsid w:val="00745DA9"/>
    <w:rsid w:val="00757A9D"/>
    <w:rsid w:val="00765263"/>
    <w:rsid w:val="0076586A"/>
    <w:rsid w:val="00787190"/>
    <w:rsid w:val="007A5284"/>
    <w:rsid w:val="007C14F4"/>
    <w:rsid w:val="007D6A0E"/>
    <w:rsid w:val="007D6F07"/>
    <w:rsid w:val="007F5A2A"/>
    <w:rsid w:val="007F70C9"/>
    <w:rsid w:val="0081473A"/>
    <w:rsid w:val="00817816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B71E3"/>
    <w:rsid w:val="008C110B"/>
    <w:rsid w:val="008C4A49"/>
    <w:rsid w:val="008D2042"/>
    <w:rsid w:val="008D405D"/>
    <w:rsid w:val="008D5575"/>
    <w:rsid w:val="008D75E6"/>
    <w:rsid w:val="008F125B"/>
    <w:rsid w:val="008F533C"/>
    <w:rsid w:val="009141FA"/>
    <w:rsid w:val="009149E6"/>
    <w:rsid w:val="00915392"/>
    <w:rsid w:val="00916E60"/>
    <w:rsid w:val="00917C90"/>
    <w:rsid w:val="00931060"/>
    <w:rsid w:val="00945FB9"/>
    <w:rsid w:val="009475A7"/>
    <w:rsid w:val="00951930"/>
    <w:rsid w:val="009610E2"/>
    <w:rsid w:val="0096469E"/>
    <w:rsid w:val="00965187"/>
    <w:rsid w:val="0097303D"/>
    <w:rsid w:val="00984352"/>
    <w:rsid w:val="00985819"/>
    <w:rsid w:val="00987ADE"/>
    <w:rsid w:val="009A389D"/>
    <w:rsid w:val="009A413C"/>
    <w:rsid w:val="009A6D9C"/>
    <w:rsid w:val="009B032C"/>
    <w:rsid w:val="009B0804"/>
    <w:rsid w:val="009C081A"/>
    <w:rsid w:val="009C0BC3"/>
    <w:rsid w:val="009C2B9D"/>
    <w:rsid w:val="009C31A6"/>
    <w:rsid w:val="009D2204"/>
    <w:rsid w:val="009D72AA"/>
    <w:rsid w:val="009E4B81"/>
    <w:rsid w:val="009E6313"/>
    <w:rsid w:val="009F3E9D"/>
    <w:rsid w:val="00A129B1"/>
    <w:rsid w:val="00A15A28"/>
    <w:rsid w:val="00A25728"/>
    <w:rsid w:val="00A258AF"/>
    <w:rsid w:val="00A26FCB"/>
    <w:rsid w:val="00A274A1"/>
    <w:rsid w:val="00A3283F"/>
    <w:rsid w:val="00A41275"/>
    <w:rsid w:val="00A47859"/>
    <w:rsid w:val="00A55A71"/>
    <w:rsid w:val="00A620AB"/>
    <w:rsid w:val="00A62E8C"/>
    <w:rsid w:val="00A73C8A"/>
    <w:rsid w:val="00A851CE"/>
    <w:rsid w:val="00A91166"/>
    <w:rsid w:val="00A91452"/>
    <w:rsid w:val="00A95D0B"/>
    <w:rsid w:val="00AA0C58"/>
    <w:rsid w:val="00AB3CC9"/>
    <w:rsid w:val="00AB4BE7"/>
    <w:rsid w:val="00AB5479"/>
    <w:rsid w:val="00AB7649"/>
    <w:rsid w:val="00AC0BF4"/>
    <w:rsid w:val="00AD40DD"/>
    <w:rsid w:val="00AE1317"/>
    <w:rsid w:val="00AE1A5E"/>
    <w:rsid w:val="00AE227D"/>
    <w:rsid w:val="00AE6440"/>
    <w:rsid w:val="00AF06B0"/>
    <w:rsid w:val="00AF23F0"/>
    <w:rsid w:val="00AF3319"/>
    <w:rsid w:val="00AF39AC"/>
    <w:rsid w:val="00AF6E9E"/>
    <w:rsid w:val="00B0330A"/>
    <w:rsid w:val="00B07208"/>
    <w:rsid w:val="00B1245F"/>
    <w:rsid w:val="00B1316F"/>
    <w:rsid w:val="00B2195A"/>
    <w:rsid w:val="00B31BB1"/>
    <w:rsid w:val="00B43343"/>
    <w:rsid w:val="00B43D9B"/>
    <w:rsid w:val="00B51C8F"/>
    <w:rsid w:val="00B55E31"/>
    <w:rsid w:val="00B56DFF"/>
    <w:rsid w:val="00B602D0"/>
    <w:rsid w:val="00B61DB2"/>
    <w:rsid w:val="00B62344"/>
    <w:rsid w:val="00B70022"/>
    <w:rsid w:val="00B7165F"/>
    <w:rsid w:val="00B733E5"/>
    <w:rsid w:val="00B759AD"/>
    <w:rsid w:val="00B80E5E"/>
    <w:rsid w:val="00B8724F"/>
    <w:rsid w:val="00B90BD8"/>
    <w:rsid w:val="00B925B3"/>
    <w:rsid w:val="00B96F18"/>
    <w:rsid w:val="00BA64C3"/>
    <w:rsid w:val="00BA6934"/>
    <w:rsid w:val="00BA751A"/>
    <w:rsid w:val="00BB2466"/>
    <w:rsid w:val="00BB2B9A"/>
    <w:rsid w:val="00BB6195"/>
    <w:rsid w:val="00BB6635"/>
    <w:rsid w:val="00BC143C"/>
    <w:rsid w:val="00BC23FF"/>
    <w:rsid w:val="00BC3393"/>
    <w:rsid w:val="00BC5C99"/>
    <w:rsid w:val="00BD27B2"/>
    <w:rsid w:val="00BE2E0B"/>
    <w:rsid w:val="00BE3BE4"/>
    <w:rsid w:val="00BE5550"/>
    <w:rsid w:val="00BF432C"/>
    <w:rsid w:val="00BF58C9"/>
    <w:rsid w:val="00C044C1"/>
    <w:rsid w:val="00C12B28"/>
    <w:rsid w:val="00C15C5E"/>
    <w:rsid w:val="00C206E5"/>
    <w:rsid w:val="00C21594"/>
    <w:rsid w:val="00C2170D"/>
    <w:rsid w:val="00C240F6"/>
    <w:rsid w:val="00C27B17"/>
    <w:rsid w:val="00C311A5"/>
    <w:rsid w:val="00C4391D"/>
    <w:rsid w:val="00C45587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64C0"/>
    <w:rsid w:val="00CD784B"/>
    <w:rsid w:val="00CE0BC6"/>
    <w:rsid w:val="00CF6697"/>
    <w:rsid w:val="00D066AA"/>
    <w:rsid w:val="00D15B3B"/>
    <w:rsid w:val="00D20AC3"/>
    <w:rsid w:val="00D3371A"/>
    <w:rsid w:val="00D412D5"/>
    <w:rsid w:val="00D50FAD"/>
    <w:rsid w:val="00D63056"/>
    <w:rsid w:val="00D63374"/>
    <w:rsid w:val="00D70040"/>
    <w:rsid w:val="00D7143F"/>
    <w:rsid w:val="00DA10DB"/>
    <w:rsid w:val="00DC1863"/>
    <w:rsid w:val="00DD3D93"/>
    <w:rsid w:val="00DD4E3E"/>
    <w:rsid w:val="00DD6689"/>
    <w:rsid w:val="00DF3F66"/>
    <w:rsid w:val="00E0053A"/>
    <w:rsid w:val="00E008BA"/>
    <w:rsid w:val="00E0436B"/>
    <w:rsid w:val="00E1246D"/>
    <w:rsid w:val="00E12747"/>
    <w:rsid w:val="00E14659"/>
    <w:rsid w:val="00E14F48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B681F"/>
    <w:rsid w:val="00EC2292"/>
    <w:rsid w:val="00EE5149"/>
    <w:rsid w:val="00EF1981"/>
    <w:rsid w:val="00EF4611"/>
    <w:rsid w:val="00F0418D"/>
    <w:rsid w:val="00F049CC"/>
    <w:rsid w:val="00F152C4"/>
    <w:rsid w:val="00F21784"/>
    <w:rsid w:val="00F26AB3"/>
    <w:rsid w:val="00F30E1E"/>
    <w:rsid w:val="00F34410"/>
    <w:rsid w:val="00F44CE4"/>
    <w:rsid w:val="00F514E9"/>
    <w:rsid w:val="00F54C2A"/>
    <w:rsid w:val="00F562EF"/>
    <w:rsid w:val="00F668A6"/>
    <w:rsid w:val="00F70F49"/>
    <w:rsid w:val="00F7707E"/>
    <w:rsid w:val="00F837DE"/>
    <w:rsid w:val="00F93DFA"/>
    <w:rsid w:val="00FA0FB3"/>
    <w:rsid w:val="00FA634C"/>
    <w:rsid w:val="00FA79CC"/>
    <w:rsid w:val="00FA7B77"/>
    <w:rsid w:val="00FB11FD"/>
    <w:rsid w:val="00FB4F1B"/>
    <w:rsid w:val="00FB57B9"/>
    <w:rsid w:val="00FC056D"/>
    <w:rsid w:val="00FC186E"/>
    <w:rsid w:val="00FD5BC4"/>
    <w:rsid w:val="00FD5BEC"/>
    <w:rsid w:val="00FD5E47"/>
    <w:rsid w:val="00FD7332"/>
    <w:rsid w:val="00FD750F"/>
    <w:rsid w:val="00FE44B8"/>
    <w:rsid w:val="00FE7E23"/>
    <w:rsid w:val="00FF45C1"/>
    <w:rsid w:val="00FF6A65"/>
    <w:rsid w:val="031D9B6C"/>
    <w:rsid w:val="03878602"/>
    <w:rsid w:val="056C4279"/>
    <w:rsid w:val="08C38CE7"/>
    <w:rsid w:val="08CE85BF"/>
    <w:rsid w:val="099AC952"/>
    <w:rsid w:val="09FDCEC7"/>
    <w:rsid w:val="0A289FBB"/>
    <w:rsid w:val="0A3C7E8F"/>
    <w:rsid w:val="0B503AB2"/>
    <w:rsid w:val="0CDC767D"/>
    <w:rsid w:val="0DBE8CB3"/>
    <w:rsid w:val="0E7F5DBA"/>
    <w:rsid w:val="0FC15162"/>
    <w:rsid w:val="101A6094"/>
    <w:rsid w:val="105EBBFD"/>
    <w:rsid w:val="13043C5E"/>
    <w:rsid w:val="13260C5E"/>
    <w:rsid w:val="1364AE99"/>
    <w:rsid w:val="13AF24D7"/>
    <w:rsid w:val="13CBE0C7"/>
    <w:rsid w:val="140EB970"/>
    <w:rsid w:val="14146E08"/>
    <w:rsid w:val="1473702F"/>
    <w:rsid w:val="1475B578"/>
    <w:rsid w:val="158D0AB4"/>
    <w:rsid w:val="17C0CF37"/>
    <w:rsid w:val="18AF57B8"/>
    <w:rsid w:val="197A8EB0"/>
    <w:rsid w:val="1A1C5DC3"/>
    <w:rsid w:val="1B93E1CC"/>
    <w:rsid w:val="1CA8919E"/>
    <w:rsid w:val="1D5445F9"/>
    <w:rsid w:val="1DC59370"/>
    <w:rsid w:val="1E22A57A"/>
    <w:rsid w:val="1EBA4ACB"/>
    <w:rsid w:val="1EDE7F68"/>
    <w:rsid w:val="20600593"/>
    <w:rsid w:val="222E5774"/>
    <w:rsid w:val="23CAFC27"/>
    <w:rsid w:val="2461AEB3"/>
    <w:rsid w:val="246BC0DA"/>
    <w:rsid w:val="2549E077"/>
    <w:rsid w:val="255969D3"/>
    <w:rsid w:val="27712CAE"/>
    <w:rsid w:val="27AC65AA"/>
    <w:rsid w:val="27B32DA0"/>
    <w:rsid w:val="2959C3A5"/>
    <w:rsid w:val="2A18935E"/>
    <w:rsid w:val="2B1EDF04"/>
    <w:rsid w:val="2BE4B083"/>
    <w:rsid w:val="2C19821F"/>
    <w:rsid w:val="2EA00444"/>
    <w:rsid w:val="2F5AE700"/>
    <w:rsid w:val="313D38C2"/>
    <w:rsid w:val="32421A36"/>
    <w:rsid w:val="32FB3C06"/>
    <w:rsid w:val="33C053F0"/>
    <w:rsid w:val="344BFAD2"/>
    <w:rsid w:val="3517059C"/>
    <w:rsid w:val="35B82369"/>
    <w:rsid w:val="35F95E4B"/>
    <w:rsid w:val="36A86E4C"/>
    <w:rsid w:val="37701387"/>
    <w:rsid w:val="3799B4F4"/>
    <w:rsid w:val="38874CC0"/>
    <w:rsid w:val="38EA293A"/>
    <w:rsid w:val="391701CA"/>
    <w:rsid w:val="39B4DF75"/>
    <w:rsid w:val="3A6C04CD"/>
    <w:rsid w:val="3BE3FBD9"/>
    <w:rsid w:val="3BE5087A"/>
    <w:rsid w:val="3CA29FD3"/>
    <w:rsid w:val="3EDAA418"/>
    <w:rsid w:val="3EE06DFF"/>
    <w:rsid w:val="403A3F80"/>
    <w:rsid w:val="4047F266"/>
    <w:rsid w:val="40835B6A"/>
    <w:rsid w:val="408AB70B"/>
    <w:rsid w:val="42003EB0"/>
    <w:rsid w:val="42570FDE"/>
    <w:rsid w:val="435E6CC2"/>
    <w:rsid w:val="4429CD59"/>
    <w:rsid w:val="44369FE2"/>
    <w:rsid w:val="44FBEDFC"/>
    <w:rsid w:val="45123516"/>
    <w:rsid w:val="455C8115"/>
    <w:rsid w:val="463AA22A"/>
    <w:rsid w:val="4752FAE1"/>
    <w:rsid w:val="47861EAC"/>
    <w:rsid w:val="47E8044E"/>
    <w:rsid w:val="48F6B8FA"/>
    <w:rsid w:val="49FB9822"/>
    <w:rsid w:val="4A673330"/>
    <w:rsid w:val="4ADA9C00"/>
    <w:rsid w:val="4AE9B9AB"/>
    <w:rsid w:val="4B3A2BE7"/>
    <w:rsid w:val="4DCADA5D"/>
    <w:rsid w:val="4EA1665C"/>
    <w:rsid w:val="4EFFCB90"/>
    <w:rsid w:val="4F1A1131"/>
    <w:rsid w:val="50856B95"/>
    <w:rsid w:val="54B829B7"/>
    <w:rsid w:val="54E1E457"/>
    <w:rsid w:val="55AD685A"/>
    <w:rsid w:val="56619CA3"/>
    <w:rsid w:val="575F9106"/>
    <w:rsid w:val="57732731"/>
    <w:rsid w:val="58F4E7D5"/>
    <w:rsid w:val="59E85AE7"/>
    <w:rsid w:val="5A6E5753"/>
    <w:rsid w:val="5A840F85"/>
    <w:rsid w:val="5AC59919"/>
    <w:rsid w:val="5B67684D"/>
    <w:rsid w:val="5F04F35B"/>
    <w:rsid w:val="5F4EB50C"/>
    <w:rsid w:val="5F7769B8"/>
    <w:rsid w:val="5F875964"/>
    <w:rsid w:val="6116D417"/>
    <w:rsid w:val="6131B042"/>
    <w:rsid w:val="63712C83"/>
    <w:rsid w:val="65EEFB6A"/>
    <w:rsid w:val="66998F8D"/>
    <w:rsid w:val="66A3900D"/>
    <w:rsid w:val="68BA14CA"/>
    <w:rsid w:val="69BDD6DB"/>
    <w:rsid w:val="6BD07BA5"/>
    <w:rsid w:val="6E28F75B"/>
    <w:rsid w:val="6E504EFD"/>
    <w:rsid w:val="6F2D83CA"/>
    <w:rsid w:val="6F2ED689"/>
    <w:rsid w:val="71D841A3"/>
    <w:rsid w:val="7200D94D"/>
    <w:rsid w:val="72212368"/>
    <w:rsid w:val="723BC472"/>
    <w:rsid w:val="72C42826"/>
    <w:rsid w:val="72D088F6"/>
    <w:rsid w:val="72DB0841"/>
    <w:rsid w:val="7323323C"/>
    <w:rsid w:val="739F98CF"/>
    <w:rsid w:val="73FD556F"/>
    <w:rsid w:val="7564E71B"/>
    <w:rsid w:val="75C45621"/>
    <w:rsid w:val="7621E434"/>
    <w:rsid w:val="763A0CDD"/>
    <w:rsid w:val="771D929E"/>
    <w:rsid w:val="777E9B87"/>
    <w:rsid w:val="77DA65F1"/>
    <w:rsid w:val="78456AC5"/>
    <w:rsid w:val="78931ED3"/>
    <w:rsid w:val="7A95D76C"/>
    <w:rsid w:val="7B384E84"/>
    <w:rsid w:val="7C01F16A"/>
    <w:rsid w:val="7C570DFB"/>
    <w:rsid w:val="7EC6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1F679"/>
  <w15:chartTrackingRefBased/>
  <w15:docId w15:val="{1388115E-2205-ED43-84B3-53BF662C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817816"/>
    <w:pPr>
      <w:keepNext/>
      <w:keepLines/>
      <w:numPr>
        <w:ilvl w:val="0"/>
        <w:numId w:val="20"/>
      </w:numPr>
      <w:suppressAutoHyphens/>
      <w:spacing w:before="640"/>
      <w:jc w:val="left"/>
      <w:outlineLvl w:val="0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817816"/>
    <w:pPr>
      <w:numPr>
        <w:ilvl w:val="1"/>
        <w:numId w:val="20"/>
      </w:numPr>
      <w:suppressAutoHyphens/>
      <w:spacing w:before="320"/>
      <w:jc w:val="left"/>
      <w:outlineLvl w:val="1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817816"/>
    <w:pPr>
      <w:keepNext/>
      <w:keepLines/>
      <w:numPr>
        <w:ilvl w:val="2"/>
        <w:numId w:val="20"/>
      </w:numPr>
      <w:suppressAutoHyphens/>
      <w:spacing w:before="320"/>
      <w:jc w:val="left"/>
      <w:outlineLvl w:val="2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817816"/>
    <w:pPr>
      <w:keepNext/>
      <w:keepLines/>
      <w:numPr>
        <w:ilvl w:val="3"/>
        <w:numId w:val="20"/>
      </w:numPr>
      <w:suppressAutoHyphens/>
      <w:spacing w:before="320"/>
      <w:jc w:val="left"/>
      <w:outlineLvl w:val="3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817816"/>
    <w:pPr>
      <w:keepNext/>
      <w:keepLines/>
      <w:numPr>
        <w:ilvl w:val="4"/>
        <w:numId w:val="20"/>
      </w:numPr>
      <w:suppressAutoHyphens/>
      <w:spacing w:before="320"/>
      <w:jc w:val="left"/>
      <w:outlineLvl w:val="4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817816"/>
    <w:pPr>
      <w:keepNext/>
      <w:keepLines/>
      <w:numPr>
        <w:ilvl w:val="5"/>
        <w:numId w:val="20"/>
      </w:numPr>
      <w:suppressAutoHyphens/>
      <w:spacing w:before="320"/>
      <w:jc w:val="left"/>
      <w:outlineLvl w:val="5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qFormat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A258AF"/>
    <w:pPr>
      <w:tabs>
        <w:tab w:val="right" w:leader="dot" w:pos="9061"/>
      </w:tabs>
      <w:spacing w:after="100"/>
      <w:ind w:left="284" w:hanging="284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258AF"/>
    <w:pPr>
      <w:tabs>
        <w:tab w:val="right" w:leader="dot" w:pos="9061"/>
      </w:tabs>
      <w:spacing w:after="100"/>
      <w:ind w:left="851" w:hanging="567"/>
    </w:pPr>
  </w:style>
  <w:style w:type="paragraph" w:styleId="Obsah3">
    <w:name w:val="toc 3"/>
    <w:basedOn w:val="Normln"/>
    <w:next w:val="Normln"/>
    <w:uiPriority w:val="39"/>
    <w:unhideWhenUsed/>
    <w:rsid w:val="00A258AF"/>
    <w:pPr>
      <w:tabs>
        <w:tab w:val="right" w:leader="dot" w:pos="9061"/>
      </w:tabs>
      <w:spacing w:after="100"/>
      <w:ind w:left="1304" w:hanging="73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A25728"/>
    <w:pPr>
      <w:numPr>
        <w:numId w:val="22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22"/>
      </w:numPr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22"/>
      </w:numPr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22"/>
      </w:numPr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22"/>
      </w:numPr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22"/>
      </w:numPr>
    </w:pPr>
  </w:style>
  <w:style w:type="numbering" w:customStyle="1" w:styleId="Stylseznamu-odrky">
    <w:name w:val="Styl seznamu - odrážky"/>
    <w:uiPriority w:val="99"/>
    <w:rsid w:val="007C14F4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table" w:customStyle="1" w:styleId="TabulkaJVS-edmatice">
    <w:name w:val="Tabulka JVS - šedá (matice)"/>
    <w:basedOn w:val="Normlntabulka"/>
    <w:uiPriority w:val="99"/>
    <w:rsid w:val="005367EF"/>
    <w:pPr>
      <w:spacing w:after="0" w:line="240" w:lineRule="auto"/>
      <w:jc w:val="righ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93B41"/>
      </w:tcPr>
    </w:tblStylePr>
    <w:tblStylePr w:type="lastRow">
      <w:rPr>
        <w:b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93B41"/>
      </w:tcPr>
    </w:tblStylePr>
    <w:tblStylePr w:type="firstCo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93B41"/>
      </w:tcPr>
    </w:tblStylePr>
  </w:style>
  <w:style w:type="table" w:customStyle="1" w:styleId="TabulkaJVS-modrmartice">
    <w:name w:val="Tabulka JVS - modrá (martice)"/>
    <w:basedOn w:val="Normlntabulka"/>
    <w:uiPriority w:val="99"/>
    <w:rsid w:val="005367EF"/>
    <w:pPr>
      <w:spacing w:after="0" w:line="240" w:lineRule="auto"/>
      <w:jc w:val="right"/>
    </w:pPr>
    <w:tblPr>
      <w:tblBorders>
        <w:insideH w:val="single" w:sz="4" w:space="0" w:color="00459B"/>
        <w:insideV w:val="single" w:sz="4" w:space="0" w:color="00459B"/>
      </w:tblBorders>
      <w:tblCellMar>
        <w:top w:w="57" w:type="dxa"/>
        <w:bottom w:w="57" w:type="dxa"/>
      </w:tblCellMar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b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59B"/>
      </w:tcPr>
    </w:tblStylePr>
    <w:tblStylePr w:type="lastRow">
      <w:rPr>
        <w:b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59B"/>
      </w:tcPr>
    </w:tblStylePr>
    <w:tblStylePr w:type="firstCol">
      <w:pPr>
        <w:jc w:val="center"/>
      </w:pPr>
      <w:rPr>
        <w:b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59B"/>
      </w:tcPr>
    </w:tblStylePr>
  </w:style>
  <w:style w:type="table" w:customStyle="1" w:styleId="Mkatabulky1">
    <w:name w:val="Mřížka tabulky1"/>
    <w:basedOn w:val="Normlntabulka"/>
    <w:next w:val="Mkatabulky"/>
    <w:uiPriority w:val="59"/>
    <w:rsid w:val="001D39AF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2C3244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9D22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D220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9D220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22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22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DDC7AC9CEA0C4B80752B2C29C25EEA" ma:contentTypeVersion="3" ma:contentTypeDescription="Vytvoří nový dokument" ma:contentTypeScope="" ma:versionID="7c5f0e04203e3a52d7492172b2dd23b1">
  <xsd:schema xmlns:xsd="http://www.w3.org/2001/XMLSchema" xmlns:xs="http://www.w3.org/2001/XMLSchema" xmlns:p="http://schemas.microsoft.com/office/2006/metadata/properties" xmlns:ns2="27bb058e-323f-470e-a540-2bdadff4cdfc" targetNamespace="http://schemas.microsoft.com/office/2006/metadata/properties" ma:root="true" ma:fieldsID="1c6d01649d4b545280e09ae7a06158c4" ns2:_="">
    <xsd:import namespace="27bb058e-323f-470e-a540-2bdadff4c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058e-323f-470e-a540-2bdadff4c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A891A-53E7-4FD1-B913-4ED7B87B16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53E87D-E4BB-422C-ABEE-9C10BAFE1F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EC3047-3566-46D1-9F6F-97E53DE5E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b058e-323f-470e-a540-2bdadff4c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1720</Words>
  <Characters>10154</Characters>
  <Application>Microsoft Office Word</Application>
  <DocSecurity>0</DocSecurity>
  <Lines>84</Lines>
  <Paragraphs>23</Paragraphs>
  <ScaleCrop>false</ScaleCrop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Drašnar</dc:creator>
  <cp:keywords/>
  <dc:description/>
  <cp:lastModifiedBy>Švec Jakub</cp:lastModifiedBy>
  <cp:revision>40</cp:revision>
  <dcterms:created xsi:type="dcterms:W3CDTF">2026-07-29T14:21:00Z</dcterms:created>
  <dcterms:modified xsi:type="dcterms:W3CDTF">2026-08-14T12:34:00Z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0x01010065DDC7AC9CEA0C4B80752B2C29C25EEA</vt:lpwstr>
  </property>
</Properties>
</file>