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643B38" w14:textId="7503884A" w:rsidR="0078751C" w:rsidRPr="00045082" w:rsidRDefault="0086519B" w:rsidP="00045082">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23907FFC" wp14:editId="7C92FDEB">
            <wp:simplePos x="0" y="0"/>
            <wp:positionH relativeFrom="page">
              <wp:posOffset>902970</wp:posOffset>
            </wp:positionH>
            <wp:positionV relativeFrom="page">
              <wp:posOffset>867410</wp:posOffset>
            </wp:positionV>
            <wp:extent cx="5759450" cy="313055"/>
            <wp:effectExtent l="0" t="0" r="0" b="0"/>
            <wp:wrapNone/>
            <wp:docPr id="126110814"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110814"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045082">
        <w:rPr>
          <w:rFonts w:ascii="Arial" w:hAnsi="Arial" w:cs="Arial"/>
          <w:b/>
          <w:bCs/>
          <w:sz w:val="20"/>
          <w:szCs w:val="20"/>
        </w:rPr>
        <w:t xml:space="preserve">Odůvodnění </w:t>
      </w:r>
      <w:r w:rsidR="000B1823" w:rsidRPr="00293C68">
        <w:rPr>
          <w:rFonts w:ascii="Arial" w:hAnsi="Arial" w:cs="Arial"/>
          <w:b/>
          <w:bCs/>
          <w:sz w:val="20"/>
          <w:szCs w:val="20"/>
        </w:rPr>
        <w:t>Opatření obecné povahy</w:t>
      </w:r>
      <w:r w:rsidR="00045082">
        <w:rPr>
          <w:rFonts w:ascii="Arial" w:hAnsi="Arial" w:cs="Arial"/>
          <w:b/>
          <w:bCs/>
          <w:sz w:val="20"/>
          <w:szCs w:val="20"/>
        </w:rPr>
        <w:t xml:space="preserve"> </w:t>
      </w:r>
      <w:r w:rsidR="003C0592" w:rsidRPr="003C0592">
        <w:rPr>
          <w:rFonts w:ascii="Arial" w:hAnsi="Arial" w:cs="Arial"/>
          <w:b/>
          <w:bCs/>
          <w:sz w:val="20"/>
          <w:szCs w:val="20"/>
        </w:rPr>
        <w:t>pro akcelerační oblast</w:t>
      </w:r>
      <w:r w:rsidR="003C0592" w:rsidRPr="00293C68">
        <w:rPr>
          <w:rFonts w:ascii="Arial" w:hAnsi="Arial" w:cs="Arial"/>
          <w:sz w:val="20"/>
          <w:szCs w:val="20"/>
        </w:rPr>
        <w:t xml:space="preserve"> </w:t>
      </w:r>
      <w:r w:rsidR="003C0592" w:rsidRPr="00293C68">
        <w:rPr>
          <w:rFonts w:ascii="Arial" w:hAnsi="Arial" w:cs="Arial"/>
          <w:b/>
          <w:bCs/>
          <w:sz w:val="20"/>
          <w:szCs w:val="20"/>
        </w:rPr>
        <w:t>AOV79 Vintířov</w:t>
      </w:r>
    </w:p>
    <w:p w14:paraId="7E2FEC61" w14:textId="6C07A56A" w:rsidR="00D13C07" w:rsidRPr="00293C68" w:rsidRDefault="00653008" w:rsidP="00A04ECB">
      <w:pPr>
        <w:spacing w:before="120" w:after="120" w:line="276" w:lineRule="auto"/>
        <w:jc w:val="both"/>
        <w:rPr>
          <w:rFonts w:ascii="Arial" w:hAnsi="Arial" w:cs="Arial"/>
          <w:b/>
          <w:bCs/>
          <w:sz w:val="20"/>
          <w:szCs w:val="20"/>
        </w:rPr>
      </w:pPr>
      <w:r w:rsidRPr="00293C68">
        <w:rPr>
          <w:rFonts w:ascii="Arial" w:hAnsi="Arial" w:cs="Arial"/>
          <w:sz w:val="20"/>
          <w:szCs w:val="20"/>
        </w:rPr>
        <w:t xml:space="preserve">Územní opatření se vztahuje k akcelerační oblasti </w:t>
      </w:r>
      <w:r w:rsidR="006F5928" w:rsidRPr="00293C68">
        <w:rPr>
          <w:rFonts w:ascii="Arial" w:hAnsi="Arial" w:cs="Arial"/>
          <w:b/>
          <w:bCs/>
          <w:sz w:val="20"/>
          <w:szCs w:val="20"/>
        </w:rPr>
        <w:t>AO</w:t>
      </w:r>
      <w:r w:rsidR="00B44BA9" w:rsidRPr="00293C68">
        <w:rPr>
          <w:rFonts w:ascii="Arial" w:hAnsi="Arial" w:cs="Arial"/>
          <w:b/>
          <w:bCs/>
          <w:sz w:val="20"/>
          <w:szCs w:val="20"/>
        </w:rPr>
        <w:t>V</w:t>
      </w:r>
      <w:r w:rsidR="005F247A" w:rsidRPr="00293C68">
        <w:rPr>
          <w:rFonts w:ascii="Arial" w:hAnsi="Arial" w:cs="Arial"/>
          <w:b/>
          <w:bCs/>
          <w:sz w:val="20"/>
          <w:szCs w:val="20"/>
        </w:rPr>
        <w:t>79</w:t>
      </w:r>
      <w:r w:rsidR="00D06E79" w:rsidRPr="00293C68">
        <w:rPr>
          <w:rFonts w:ascii="Arial" w:hAnsi="Arial" w:cs="Arial"/>
          <w:b/>
          <w:bCs/>
          <w:sz w:val="20"/>
          <w:szCs w:val="20"/>
        </w:rPr>
        <w:t xml:space="preserve"> </w:t>
      </w:r>
      <w:r w:rsidR="005F247A" w:rsidRPr="00293C68">
        <w:rPr>
          <w:rFonts w:ascii="Arial" w:hAnsi="Arial" w:cs="Arial"/>
          <w:b/>
          <w:bCs/>
          <w:sz w:val="20"/>
          <w:szCs w:val="20"/>
        </w:rPr>
        <w:t>Vintířov</w:t>
      </w:r>
      <w:r w:rsidRPr="00293C68">
        <w:rPr>
          <w:rFonts w:ascii="Arial" w:hAnsi="Arial" w:cs="Arial"/>
          <w:sz w:val="20"/>
          <w:szCs w:val="20"/>
        </w:rPr>
        <w:t xml:space="preserve">, vymezené </w:t>
      </w:r>
      <w:r w:rsidR="006F5928" w:rsidRPr="00293C68">
        <w:rPr>
          <w:rFonts w:ascii="Arial" w:hAnsi="Arial" w:cs="Arial"/>
          <w:sz w:val="20"/>
          <w:szCs w:val="20"/>
        </w:rPr>
        <w:t>ve Změně č.</w:t>
      </w:r>
      <w:r w:rsidR="00D06E79" w:rsidRPr="00293C68">
        <w:rPr>
          <w:rFonts w:ascii="Arial" w:hAnsi="Arial" w:cs="Arial"/>
          <w:sz w:val="20"/>
          <w:szCs w:val="20"/>
        </w:rPr>
        <w:t> </w:t>
      </w:r>
      <w:r w:rsidR="006F5928" w:rsidRPr="00293C68">
        <w:rPr>
          <w:rFonts w:ascii="Arial" w:hAnsi="Arial" w:cs="Arial"/>
          <w:sz w:val="20"/>
          <w:szCs w:val="20"/>
        </w:rPr>
        <w:t>2 územního rozvojového plánu</w:t>
      </w:r>
      <w:r w:rsidRPr="00293C68">
        <w:rPr>
          <w:rFonts w:ascii="Arial" w:hAnsi="Arial" w:cs="Arial"/>
          <w:sz w:val="20"/>
          <w:szCs w:val="20"/>
        </w:rPr>
        <w:t>.</w:t>
      </w:r>
      <w:r w:rsidR="00334780" w:rsidRPr="00293C68">
        <w:rPr>
          <w:rFonts w:ascii="Arial" w:hAnsi="Arial" w:cs="Arial"/>
          <w:sz w:val="20"/>
          <w:szCs w:val="20"/>
        </w:rPr>
        <w:t xml:space="preserve"> </w:t>
      </w:r>
      <w:r w:rsidR="00D13C07" w:rsidRPr="00293C68">
        <w:rPr>
          <w:rFonts w:ascii="Arial" w:hAnsi="Arial" w:cs="Arial"/>
          <w:sz w:val="20"/>
          <w:szCs w:val="20"/>
        </w:rPr>
        <w:t xml:space="preserve">Územní opatření </w:t>
      </w:r>
      <w:r w:rsidR="00906CD1" w:rsidRPr="00293C68">
        <w:rPr>
          <w:rFonts w:ascii="Arial" w:hAnsi="Arial" w:cs="Arial"/>
          <w:sz w:val="20"/>
          <w:szCs w:val="20"/>
        </w:rPr>
        <w:t>proto stanoví podmínky a zmírňující opatření pro výrobu energie z</w:t>
      </w:r>
      <w:r w:rsidR="005B39AF" w:rsidRPr="00293C68">
        <w:rPr>
          <w:rFonts w:ascii="Arial" w:hAnsi="Arial" w:cs="Arial"/>
          <w:sz w:val="20"/>
          <w:szCs w:val="20"/>
        </w:rPr>
        <w:t xml:space="preserve"> energie </w:t>
      </w:r>
      <w:r w:rsidR="00906CD1" w:rsidRPr="00293C68">
        <w:rPr>
          <w:rFonts w:ascii="Arial" w:hAnsi="Arial" w:cs="Arial"/>
          <w:sz w:val="20"/>
          <w:szCs w:val="20"/>
        </w:rPr>
        <w:t>větru</w:t>
      </w:r>
      <w:r w:rsidR="00D13C07" w:rsidRPr="00293C68">
        <w:rPr>
          <w:rFonts w:ascii="Arial" w:hAnsi="Arial" w:cs="Arial"/>
          <w:sz w:val="20"/>
          <w:szCs w:val="20"/>
        </w:rPr>
        <w:t>.</w:t>
      </w:r>
      <w:r w:rsidR="00922192" w:rsidRPr="00293C68">
        <w:rPr>
          <w:rFonts w:ascii="Arial" w:hAnsi="Arial" w:cs="Arial"/>
          <w:sz w:val="20"/>
          <w:szCs w:val="20"/>
        </w:rPr>
        <w:t xml:space="preserve"> </w:t>
      </w:r>
      <w:r w:rsidR="00922192" w:rsidRPr="00293C68">
        <w:rPr>
          <w:rFonts w:ascii="Arial" w:hAnsi="Arial" w:cs="Arial"/>
          <w:b/>
          <w:bCs/>
          <w:sz w:val="20"/>
          <w:szCs w:val="20"/>
        </w:rPr>
        <w:t xml:space="preserve">Důvody vymezení akcelerační oblasti v daném místě a pro daný typ obnovitelného zdroje jsou popsány v odůvodnění </w:t>
      </w:r>
      <w:r w:rsidR="00E569BB" w:rsidRPr="00293C68">
        <w:rPr>
          <w:rFonts w:ascii="Arial" w:hAnsi="Arial" w:cs="Arial"/>
          <w:b/>
          <w:bCs/>
          <w:sz w:val="20"/>
          <w:szCs w:val="20"/>
        </w:rPr>
        <w:t xml:space="preserve">Změny </w:t>
      </w:r>
      <w:r w:rsidR="00922192" w:rsidRPr="00293C68">
        <w:rPr>
          <w:rFonts w:ascii="Arial" w:hAnsi="Arial" w:cs="Arial"/>
          <w:b/>
          <w:bCs/>
          <w:sz w:val="20"/>
          <w:szCs w:val="20"/>
        </w:rPr>
        <w:t xml:space="preserve">č. 2 </w:t>
      </w:r>
      <w:r w:rsidR="006F5928" w:rsidRPr="00293C68">
        <w:rPr>
          <w:rFonts w:ascii="Arial" w:hAnsi="Arial" w:cs="Arial"/>
          <w:b/>
          <w:bCs/>
          <w:sz w:val="20"/>
          <w:szCs w:val="20"/>
        </w:rPr>
        <w:t>územního rozvojového plánu</w:t>
      </w:r>
      <w:r w:rsidR="00922192" w:rsidRPr="00293C68">
        <w:rPr>
          <w:rFonts w:ascii="Arial" w:hAnsi="Arial" w:cs="Arial"/>
          <w:b/>
          <w:bCs/>
          <w:sz w:val="20"/>
          <w:szCs w:val="20"/>
        </w:rPr>
        <w:t>.</w:t>
      </w:r>
    </w:p>
    <w:p w14:paraId="26627079" w14:textId="68827744" w:rsidR="00F94E19" w:rsidRPr="00293C68" w:rsidRDefault="00F94E19" w:rsidP="00A04ECB">
      <w:pPr>
        <w:spacing w:before="120" w:after="120" w:line="276" w:lineRule="auto"/>
        <w:jc w:val="both"/>
        <w:rPr>
          <w:rFonts w:ascii="Arial" w:hAnsi="Arial" w:cs="Arial"/>
          <w:sz w:val="20"/>
          <w:szCs w:val="20"/>
        </w:rPr>
      </w:pPr>
      <w:r w:rsidRPr="00293C68">
        <w:rPr>
          <w:rFonts w:ascii="Arial" w:hAnsi="Arial" w:cs="Arial"/>
          <w:sz w:val="20"/>
          <w:szCs w:val="20"/>
        </w:rPr>
        <w:t xml:space="preserve">Rozloha akcelerační oblasti je </w:t>
      </w:r>
      <w:r w:rsidR="005F247A" w:rsidRPr="00293C68">
        <w:rPr>
          <w:rFonts w:ascii="Arial" w:hAnsi="Arial" w:cs="Arial"/>
          <w:sz w:val="20"/>
          <w:szCs w:val="20"/>
        </w:rPr>
        <w:t>469</w:t>
      </w:r>
      <w:r w:rsidR="002522DC" w:rsidRPr="00293C68">
        <w:rPr>
          <w:rFonts w:ascii="Arial" w:hAnsi="Arial" w:cs="Arial"/>
          <w:sz w:val="20"/>
          <w:szCs w:val="20"/>
        </w:rPr>
        <w:t>,</w:t>
      </w:r>
      <w:r w:rsidR="005F247A" w:rsidRPr="00293C68">
        <w:rPr>
          <w:rFonts w:ascii="Arial" w:hAnsi="Arial" w:cs="Arial"/>
          <w:sz w:val="20"/>
          <w:szCs w:val="20"/>
        </w:rPr>
        <w:t>5</w:t>
      </w:r>
      <w:r w:rsidRPr="00293C68">
        <w:rPr>
          <w:rFonts w:ascii="Arial" w:hAnsi="Arial" w:cs="Arial"/>
          <w:sz w:val="20"/>
          <w:szCs w:val="20"/>
        </w:rPr>
        <w:t xml:space="preserve"> ha</w:t>
      </w:r>
      <w:r w:rsidR="00B7044A" w:rsidRPr="00293C68">
        <w:rPr>
          <w:rFonts w:ascii="Arial" w:hAnsi="Arial" w:cs="Arial"/>
          <w:sz w:val="20"/>
          <w:szCs w:val="20"/>
        </w:rPr>
        <w:t xml:space="preserve"> (</w:t>
      </w:r>
      <w:r w:rsidR="005F247A" w:rsidRPr="00293C68">
        <w:rPr>
          <w:rFonts w:ascii="Arial" w:hAnsi="Arial" w:cs="Arial"/>
          <w:sz w:val="20"/>
          <w:szCs w:val="20"/>
        </w:rPr>
        <w:t>4</w:t>
      </w:r>
      <w:r w:rsidR="00D06E79" w:rsidRPr="00293C68">
        <w:rPr>
          <w:rFonts w:ascii="Arial" w:hAnsi="Arial" w:cs="Arial"/>
          <w:sz w:val="20"/>
          <w:szCs w:val="20"/>
        </w:rPr>
        <w:t>,</w:t>
      </w:r>
      <w:r w:rsidR="005F247A" w:rsidRPr="00293C68">
        <w:rPr>
          <w:rFonts w:ascii="Arial" w:hAnsi="Arial" w:cs="Arial"/>
          <w:sz w:val="20"/>
          <w:szCs w:val="20"/>
        </w:rPr>
        <w:t>7</w:t>
      </w:r>
      <w:r w:rsidR="00B7044A" w:rsidRPr="00293C68">
        <w:rPr>
          <w:rFonts w:ascii="Arial" w:hAnsi="Arial" w:cs="Arial"/>
          <w:sz w:val="20"/>
          <w:szCs w:val="20"/>
        </w:rPr>
        <w:t xml:space="preserve"> km</w:t>
      </w:r>
      <w:r w:rsidR="00B7044A" w:rsidRPr="00293C68">
        <w:rPr>
          <w:rFonts w:ascii="Arial" w:hAnsi="Arial" w:cs="Arial"/>
          <w:sz w:val="20"/>
          <w:szCs w:val="20"/>
          <w:vertAlign w:val="superscript"/>
        </w:rPr>
        <w:t>2</w:t>
      </w:r>
      <w:r w:rsidR="00B7044A" w:rsidRPr="00293C68">
        <w:rPr>
          <w:rFonts w:ascii="Arial" w:hAnsi="Arial" w:cs="Arial"/>
          <w:sz w:val="20"/>
          <w:szCs w:val="20"/>
        </w:rPr>
        <w:t>)</w:t>
      </w:r>
      <w:r w:rsidRPr="00293C68">
        <w:rPr>
          <w:rFonts w:ascii="Arial" w:hAnsi="Arial" w:cs="Arial"/>
          <w:sz w:val="20"/>
          <w:szCs w:val="20"/>
        </w:rPr>
        <w:t xml:space="preserve"> a odhadovaný maximální celkový instalovaný výkon záměrů pro využití obnovitelného </w:t>
      </w:r>
      <w:r w:rsidR="00D303E4" w:rsidRPr="00293C68">
        <w:rPr>
          <w:rFonts w:ascii="Arial" w:hAnsi="Arial" w:cs="Arial"/>
          <w:sz w:val="20"/>
          <w:szCs w:val="20"/>
        </w:rPr>
        <w:t>zdroje – energie</w:t>
      </w:r>
      <w:r w:rsidRPr="00293C68">
        <w:rPr>
          <w:rFonts w:ascii="Arial" w:hAnsi="Arial" w:cs="Arial"/>
          <w:sz w:val="20"/>
          <w:szCs w:val="20"/>
        </w:rPr>
        <w:t xml:space="preserve"> větru umístitelných v této akcelerační oblasti je </w:t>
      </w:r>
      <w:r w:rsidR="005F247A" w:rsidRPr="00293C68">
        <w:rPr>
          <w:rFonts w:ascii="Arial" w:hAnsi="Arial" w:cs="Arial"/>
          <w:sz w:val="20"/>
          <w:szCs w:val="20"/>
        </w:rPr>
        <w:t>45,5</w:t>
      </w:r>
      <w:r w:rsidR="004C0CB5" w:rsidRPr="00293C68">
        <w:rPr>
          <w:rFonts w:ascii="Arial" w:hAnsi="Arial" w:cs="Arial"/>
          <w:sz w:val="20"/>
          <w:szCs w:val="20"/>
        </w:rPr>
        <w:t> </w:t>
      </w:r>
      <w:r w:rsidRPr="00293C68">
        <w:rPr>
          <w:rFonts w:ascii="Arial" w:hAnsi="Arial" w:cs="Arial"/>
          <w:sz w:val="20"/>
          <w:szCs w:val="20"/>
        </w:rPr>
        <w:t>MW.</w:t>
      </w:r>
      <w:r w:rsidR="00E848E0" w:rsidRPr="00293C68">
        <w:rPr>
          <w:rFonts w:ascii="Arial" w:hAnsi="Arial" w:cs="Arial"/>
          <w:sz w:val="20"/>
          <w:szCs w:val="20"/>
        </w:rPr>
        <w:t xml:space="preserve"> To znamená, že se </w:t>
      </w:r>
      <w:r w:rsidR="008457EB" w:rsidRPr="00293C68">
        <w:rPr>
          <w:rFonts w:ascii="Arial" w:hAnsi="Arial" w:cs="Arial"/>
          <w:sz w:val="20"/>
          <w:szCs w:val="20"/>
        </w:rPr>
        <w:t>odhaduje</w:t>
      </w:r>
      <w:r w:rsidR="00E848E0" w:rsidRPr="00293C68">
        <w:rPr>
          <w:rFonts w:ascii="Arial" w:hAnsi="Arial" w:cs="Arial"/>
          <w:sz w:val="20"/>
          <w:szCs w:val="20"/>
        </w:rPr>
        <w:t xml:space="preserve">, že záměry </w:t>
      </w:r>
      <w:r w:rsidR="008457EB" w:rsidRPr="00293C68">
        <w:rPr>
          <w:rFonts w:ascii="Arial" w:hAnsi="Arial" w:cs="Arial"/>
          <w:sz w:val="20"/>
          <w:szCs w:val="20"/>
        </w:rPr>
        <w:t xml:space="preserve">OZE umístitelné v dané akcelerační oblasti mohou při optimálních podmínkách vyvinout špičkový elektrický výkon </w:t>
      </w:r>
      <w:r w:rsidR="005F247A" w:rsidRPr="00293C68">
        <w:rPr>
          <w:rFonts w:ascii="Arial" w:hAnsi="Arial" w:cs="Arial"/>
          <w:sz w:val="20"/>
          <w:szCs w:val="20"/>
        </w:rPr>
        <w:t>45,5</w:t>
      </w:r>
      <w:r w:rsidR="008457EB" w:rsidRPr="00293C68">
        <w:rPr>
          <w:rFonts w:ascii="Arial" w:hAnsi="Arial" w:cs="Arial"/>
          <w:sz w:val="20"/>
          <w:szCs w:val="20"/>
        </w:rPr>
        <w:t xml:space="preserve"> MWp (megawattpeak).</w:t>
      </w:r>
    </w:p>
    <w:p w14:paraId="6C94BAB4" w14:textId="37BCB3CA" w:rsidR="00F94E19" w:rsidRPr="00293C68" w:rsidRDefault="00F94E19" w:rsidP="00A04ECB">
      <w:pPr>
        <w:spacing w:before="120" w:after="120" w:line="276" w:lineRule="auto"/>
        <w:jc w:val="both"/>
        <w:rPr>
          <w:rFonts w:ascii="Arial" w:hAnsi="Arial" w:cs="Arial"/>
          <w:sz w:val="20"/>
          <w:szCs w:val="20"/>
        </w:rPr>
      </w:pPr>
      <w:r w:rsidRPr="00293C68">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293C68">
        <w:rPr>
          <w:rFonts w:ascii="Arial" w:hAnsi="Arial" w:cs="Arial"/>
          <w:sz w:val="20"/>
          <w:szCs w:val="20"/>
        </w:rPr>
        <w:t xml:space="preserve">maximálního </w:t>
      </w:r>
      <w:r w:rsidRPr="00293C68">
        <w:rPr>
          <w:rFonts w:ascii="Arial" w:hAnsi="Arial" w:cs="Arial"/>
          <w:sz w:val="20"/>
          <w:szCs w:val="20"/>
        </w:rPr>
        <w:t xml:space="preserve">instalovaného výkonu jednotlivých věží vycházejícího z možností současných technologií. Odhadovaný </w:t>
      </w:r>
      <w:r w:rsidR="008A305E" w:rsidRPr="00293C68">
        <w:rPr>
          <w:rFonts w:ascii="Arial" w:hAnsi="Arial" w:cs="Arial"/>
          <w:sz w:val="20"/>
          <w:szCs w:val="20"/>
        </w:rPr>
        <w:t xml:space="preserve">maximální celkový instalovaný výkon </w:t>
      </w:r>
      <w:r w:rsidRPr="00293C68">
        <w:rPr>
          <w:rFonts w:ascii="Arial" w:hAnsi="Arial" w:cs="Arial"/>
          <w:sz w:val="20"/>
          <w:szCs w:val="20"/>
        </w:rPr>
        <w:t>je vyjádřen vztahem P</w:t>
      </w:r>
      <w:r w:rsidRPr="00293C68">
        <w:rPr>
          <w:rFonts w:ascii="Arial" w:hAnsi="Arial" w:cs="Arial"/>
          <w:sz w:val="20"/>
          <w:szCs w:val="20"/>
          <w:vertAlign w:val="subscript"/>
        </w:rPr>
        <w:t>odh</w:t>
      </w:r>
      <w:r w:rsidRPr="00293C68">
        <w:rPr>
          <w:rFonts w:ascii="Arial" w:hAnsi="Arial" w:cs="Arial"/>
          <w:sz w:val="20"/>
          <w:szCs w:val="20"/>
        </w:rPr>
        <w:t xml:space="preserve"> [MW] = n</w:t>
      </w:r>
      <w:r w:rsidRPr="00293C68">
        <w:rPr>
          <w:rFonts w:ascii="Arial" w:hAnsi="Arial" w:cs="Arial"/>
          <w:sz w:val="20"/>
          <w:szCs w:val="20"/>
          <w:vertAlign w:val="subscript"/>
        </w:rPr>
        <w:t>věž</w:t>
      </w:r>
      <w:r w:rsidRPr="00293C68">
        <w:rPr>
          <w:rFonts w:ascii="Arial" w:hAnsi="Arial" w:cs="Arial"/>
          <w:sz w:val="20"/>
          <w:szCs w:val="20"/>
        </w:rPr>
        <w:t xml:space="preserve"> </w:t>
      </w:r>
      <w:r w:rsidR="00302F28" w:rsidRPr="00293C68">
        <w:rPr>
          <w:rFonts w:ascii="Arial" w:eastAsia="Symbol" w:hAnsi="Arial" w:cs="Arial"/>
          <w:sz w:val="20"/>
          <w:szCs w:val="20"/>
        </w:rPr>
        <w:t>×</w:t>
      </w:r>
      <w:r w:rsidR="00302F28" w:rsidRPr="00293C68">
        <w:rPr>
          <w:rFonts w:ascii="Arial" w:hAnsi="Arial" w:cs="Arial"/>
          <w:sz w:val="20"/>
          <w:szCs w:val="20"/>
        </w:rPr>
        <w:t> </w:t>
      </w:r>
      <w:r w:rsidRPr="00293C68">
        <w:rPr>
          <w:rFonts w:ascii="Arial" w:hAnsi="Arial" w:cs="Arial"/>
          <w:sz w:val="20"/>
          <w:szCs w:val="20"/>
        </w:rPr>
        <w:t>k</w:t>
      </w:r>
      <w:r w:rsidRPr="00293C68">
        <w:rPr>
          <w:rFonts w:ascii="Arial" w:hAnsi="Arial" w:cs="Arial"/>
          <w:sz w:val="20"/>
          <w:szCs w:val="20"/>
          <w:vertAlign w:val="subscript"/>
        </w:rPr>
        <w:t>neef</w:t>
      </w:r>
      <w:r w:rsidRPr="00293C68">
        <w:rPr>
          <w:rFonts w:ascii="Arial" w:hAnsi="Arial" w:cs="Arial"/>
          <w:sz w:val="20"/>
          <w:szCs w:val="20"/>
        </w:rPr>
        <w:t xml:space="preserve"> </w:t>
      </w:r>
      <w:r w:rsidR="00302F28" w:rsidRPr="00293C68">
        <w:rPr>
          <w:rFonts w:ascii="Arial" w:eastAsia="Symbol" w:hAnsi="Arial" w:cs="Arial"/>
          <w:sz w:val="20"/>
          <w:szCs w:val="20"/>
        </w:rPr>
        <w:t>×</w:t>
      </w:r>
      <w:r w:rsidR="00302F28" w:rsidRPr="00293C68">
        <w:rPr>
          <w:rFonts w:ascii="Arial" w:hAnsi="Arial" w:cs="Arial"/>
          <w:sz w:val="20"/>
          <w:szCs w:val="20"/>
        </w:rPr>
        <w:t> </w:t>
      </w:r>
      <w:r w:rsidRPr="00293C68">
        <w:rPr>
          <w:rFonts w:ascii="Arial" w:hAnsi="Arial" w:cs="Arial"/>
          <w:sz w:val="20"/>
          <w:szCs w:val="20"/>
        </w:rPr>
        <w:t>P</w:t>
      </w:r>
      <w:r w:rsidRPr="00293C68">
        <w:rPr>
          <w:rFonts w:ascii="Arial" w:hAnsi="Arial" w:cs="Arial"/>
          <w:sz w:val="20"/>
          <w:szCs w:val="20"/>
          <w:vertAlign w:val="subscript"/>
        </w:rPr>
        <w:t>věž</w:t>
      </w:r>
      <w:r w:rsidRPr="00293C68">
        <w:rPr>
          <w:rFonts w:ascii="Arial" w:hAnsi="Arial" w:cs="Arial"/>
          <w:sz w:val="20"/>
          <w:szCs w:val="20"/>
        </w:rPr>
        <w:t xml:space="preserve"> [MW], kde:</w:t>
      </w:r>
    </w:p>
    <w:p w14:paraId="20CB8646" w14:textId="3D0AB445" w:rsidR="00F94E19" w:rsidRPr="00293C68" w:rsidRDefault="00F94E19" w:rsidP="00A04ECB">
      <w:pPr>
        <w:spacing w:after="60" w:line="276" w:lineRule="auto"/>
        <w:jc w:val="both"/>
        <w:rPr>
          <w:rFonts w:ascii="Arial" w:hAnsi="Arial" w:cs="Arial"/>
          <w:sz w:val="20"/>
          <w:szCs w:val="20"/>
        </w:rPr>
      </w:pPr>
      <w:r w:rsidRPr="00293C68">
        <w:rPr>
          <w:rFonts w:ascii="Arial" w:hAnsi="Arial" w:cs="Arial"/>
          <w:sz w:val="20"/>
          <w:szCs w:val="20"/>
        </w:rPr>
        <w:t>P</w:t>
      </w:r>
      <w:r w:rsidRPr="00293C68">
        <w:rPr>
          <w:rFonts w:ascii="Arial" w:hAnsi="Arial" w:cs="Arial"/>
          <w:sz w:val="20"/>
          <w:szCs w:val="20"/>
          <w:vertAlign w:val="subscript"/>
        </w:rPr>
        <w:t>odh</w:t>
      </w:r>
      <w:r w:rsidRPr="00293C68">
        <w:rPr>
          <w:rFonts w:ascii="Arial" w:hAnsi="Arial" w:cs="Arial"/>
          <w:sz w:val="20"/>
          <w:szCs w:val="20"/>
        </w:rPr>
        <w:t xml:space="preserve"> je odhadovaný maximální celkový instalovaný výkon záměrů umístitelných v akcelerační oblasti, vyjádřený v MW;</w:t>
      </w:r>
    </w:p>
    <w:p w14:paraId="3AEB0113" w14:textId="28A00DEF" w:rsidR="00F94E19" w:rsidRPr="00293C68" w:rsidRDefault="0800AE7A" w:rsidP="00A04ECB">
      <w:pPr>
        <w:spacing w:after="60" w:line="276" w:lineRule="auto"/>
        <w:jc w:val="both"/>
        <w:rPr>
          <w:rFonts w:ascii="Arial" w:hAnsi="Arial" w:cs="Arial"/>
          <w:sz w:val="20"/>
          <w:szCs w:val="20"/>
        </w:rPr>
      </w:pPr>
      <w:r w:rsidRPr="00293C68">
        <w:rPr>
          <w:rFonts w:ascii="Arial" w:hAnsi="Arial" w:cs="Arial"/>
          <w:sz w:val="20"/>
          <w:szCs w:val="20"/>
        </w:rPr>
        <w:t>n</w:t>
      </w:r>
      <w:r w:rsidRPr="00293C68">
        <w:rPr>
          <w:rFonts w:ascii="Arial" w:hAnsi="Arial" w:cs="Arial"/>
          <w:sz w:val="20"/>
          <w:szCs w:val="20"/>
          <w:vertAlign w:val="subscript"/>
        </w:rPr>
        <w:t>věž</w:t>
      </w:r>
      <w:r w:rsidRPr="00293C68">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 minimálně 750 m, což odpovídá cca pětinásobku průměru rotoru velké větrné elektrárny (běžný průměr rotoru je cca 140–160 m); pracovně byly prověřeny různé varianty rozmístění věží větrných elektráren v akcelerační oblasti s největším dosaženým počtem věží n</w:t>
      </w:r>
      <w:r w:rsidRPr="00293C68">
        <w:rPr>
          <w:rFonts w:ascii="Arial" w:hAnsi="Arial" w:cs="Arial"/>
          <w:sz w:val="20"/>
          <w:szCs w:val="20"/>
          <w:vertAlign w:val="subscript"/>
        </w:rPr>
        <w:t>věž</w:t>
      </w:r>
      <w:r w:rsidRPr="00293C68">
        <w:rPr>
          <w:rFonts w:ascii="Arial" w:hAnsi="Arial" w:cs="Arial"/>
          <w:sz w:val="20"/>
          <w:szCs w:val="20"/>
        </w:rPr>
        <w:t xml:space="preserve"> = 13;</w:t>
      </w:r>
    </w:p>
    <w:p w14:paraId="649500FB" w14:textId="12356B44" w:rsidR="00F94E19" w:rsidRPr="00293C68" w:rsidRDefault="00F94E19" w:rsidP="00A04ECB">
      <w:pPr>
        <w:spacing w:after="60" w:line="276" w:lineRule="auto"/>
        <w:jc w:val="both"/>
        <w:rPr>
          <w:rFonts w:ascii="Arial" w:hAnsi="Arial" w:cs="Arial"/>
          <w:sz w:val="20"/>
          <w:szCs w:val="20"/>
        </w:rPr>
      </w:pPr>
      <w:r w:rsidRPr="00293C68">
        <w:rPr>
          <w:rFonts w:ascii="Arial" w:hAnsi="Arial" w:cs="Arial"/>
          <w:sz w:val="20"/>
          <w:szCs w:val="20"/>
        </w:rPr>
        <w:t>k</w:t>
      </w:r>
      <w:r w:rsidRPr="00293C68">
        <w:rPr>
          <w:rFonts w:ascii="Arial" w:hAnsi="Arial" w:cs="Arial"/>
          <w:sz w:val="20"/>
          <w:szCs w:val="20"/>
          <w:vertAlign w:val="subscript"/>
        </w:rPr>
        <w:t>neef</w:t>
      </w:r>
      <w:r w:rsidRPr="00293C68">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0A271F27" w:rsidR="00F94E19" w:rsidRPr="00293C68" w:rsidRDefault="00F94E19" w:rsidP="00A04ECB">
      <w:pPr>
        <w:spacing w:after="60" w:line="276" w:lineRule="auto"/>
        <w:jc w:val="both"/>
        <w:rPr>
          <w:rFonts w:ascii="Arial" w:hAnsi="Arial" w:cs="Arial"/>
          <w:sz w:val="20"/>
          <w:szCs w:val="20"/>
        </w:rPr>
      </w:pPr>
      <w:r w:rsidRPr="00293C68">
        <w:rPr>
          <w:rFonts w:ascii="Arial" w:hAnsi="Arial" w:cs="Arial"/>
          <w:sz w:val="20"/>
          <w:szCs w:val="20"/>
        </w:rPr>
        <w:t>P</w:t>
      </w:r>
      <w:r w:rsidRPr="00293C68">
        <w:rPr>
          <w:rFonts w:ascii="Arial" w:hAnsi="Arial" w:cs="Arial"/>
          <w:sz w:val="20"/>
          <w:szCs w:val="20"/>
          <w:vertAlign w:val="subscript"/>
        </w:rPr>
        <w:t>věž</w:t>
      </w:r>
      <w:r w:rsidRPr="00293C68">
        <w:rPr>
          <w:rFonts w:ascii="Arial" w:hAnsi="Arial" w:cs="Arial"/>
          <w:sz w:val="20"/>
          <w:szCs w:val="20"/>
        </w:rPr>
        <w:t xml:space="preserve"> [MW] je </w:t>
      </w:r>
      <w:r w:rsidR="008A305E" w:rsidRPr="00293C68">
        <w:rPr>
          <w:rFonts w:ascii="Arial" w:hAnsi="Arial" w:cs="Arial"/>
          <w:sz w:val="20"/>
          <w:szCs w:val="20"/>
        </w:rPr>
        <w:t>odhadovaný</w:t>
      </w:r>
      <w:r w:rsidRPr="00293C68">
        <w:rPr>
          <w:rFonts w:ascii="Arial" w:hAnsi="Arial" w:cs="Arial"/>
          <w:sz w:val="20"/>
          <w:szCs w:val="20"/>
        </w:rPr>
        <w:t xml:space="preserve"> maximální instalovaný výkon </w:t>
      </w:r>
      <w:r w:rsidR="008A305E" w:rsidRPr="00293C68">
        <w:rPr>
          <w:rFonts w:ascii="Arial" w:hAnsi="Arial" w:cs="Arial"/>
          <w:sz w:val="20"/>
          <w:szCs w:val="20"/>
        </w:rPr>
        <w:t xml:space="preserve">jedné věže </w:t>
      </w:r>
      <w:r w:rsidRPr="00293C68">
        <w:rPr>
          <w:rFonts w:ascii="Arial" w:hAnsi="Arial" w:cs="Arial"/>
          <w:sz w:val="20"/>
          <w:szCs w:val="20"/>
        </w:rPr>
        <w:t>větrné elektrárny. S ohledem na</w:t>
      </w:r>
      <w:r w:rsidR="00A229C2">
        <w:rPr>
          <w:rFonts w:ascii="Arial" w:hAnsi="Arial" w:cs="Arial"/>
          <w:sz w:val="20"/>
          <w:szCs w:val="20"/>
        </w:rPr>
        <w:t> </w:t>
      </w:r>
      <w:r w:rsidRPr="00293C68">
        <w:rPr>
          <w:rFonts w:ascii="Arial" w:hAnsi="Arial" w:cs="Arial"/>
          <w:sz w:val="20"/>
          <w:szCs w:val="20"/>
        </w:rPr>
        <w:t>současné dostupné technologie byl stanoven na 5,0 MW.</w:t>
      </w:r>
    </w:p>
    <w:p w14:paraId="740FB297" w14:textId="15FE63BF" w:rsidR="00F94E19" w:rsidRPr="00293C68" w:rsidRDefault="00F94E19" w:rsidP="00A04ECB">
      <w:pPr>
        <w:spacing w:before="120" w:after="120" w:line="276" w:lineRule="auto"/>
        <w:jc w:val="both"/>
        <w:rPr>
          <w:rFonts w:ascii="Arial" w:hAnsi="Arial" w:cs="Arial"/>
          <w:sz w:val="20"/>
          <w:szCs w:val="20"/>
        </w:rPr>
      </w:pPr>
      <w:r w:rsidRPr="00293C68">
        <w:rPr>
          <w:rFonts w:ascii="Arial" w:hAnsi="Arial" w:cs="Arial"/>
          <w:sz w:val="20"/>
          <w:szCs w:val="20"/>
        </w:rPr>
        <w:t>Dosazením do vzorce docházíme k hodnotě P</w:t>
      </w:r>
      <w:r w:rsidRPr="00293C68">
        <w:rPr>
          <w:rFonts w:ascii="Arial" w:hAnsi="Arial" w:cs="Arial"/>
          <w:sz w:val="20"/>
          <w:szCs w:val="20"/>
          <w:vertAlign w:val="subscript"/>
        </w:rPr>
        <w:t>odh</w:t>
      </w:r>
      <w:r w:rsidRPr="00293C68">
        <w:rPr>
          <w:rFonts w:ascii="Arial" w:hAnsi="Arial" w:cs="Arial"/>
          <w:sz w:val="20"/>
          <w:szCs w:val="20"/>
        </w:rPr>
        <w:t xml:space="preserve"> = </w:t>
      </w:r>
      <w:r w:rsidR="005F247A" w:rsidRPr="00293C68">
        <w:rPr>
          <w:rFonts w:ascii="Arial" w:hAnsi="Arial" w:cs="Arial"/>
          <w:sz w:val="20"/>
          <w:szCs w:val="20"/>
        </w:rPr>
        <w:t>13</w:t>
      </w:r>
      <w:r w:rsidRPr="00293C68">
        <w:rPr>
          <w:rFonts w:ascii="Arial" w:hAnsi="Arial" w:cs="Arial"/>
          <w:sz w:val="20"/>
          <w:szCs w:val="20"/>
        </w:rPr>
        <w:t xml:space="preserve"> </w:t>
      </w:r>
      <w:r w:rsidR="009A5FC1" w:rsidRPr="00293C68">
        <w:rPr>
          <w:rFonts w:ascii="Arial" w:eastAsia="Symbol" w:hAnsi="Arial" w:cs="Arial"/>
          <w:sz w:val="20"/>
          <w:szCs w:val="20"/>
        </w:rPr>
        <w:t>×</w:t>
      </w:r>
      <w:r w:rsidR="009A5FC1" w:rsidRPr="00293C68">
        <w:rPr>
          <w:rFonts w:ascii="Arial" w:hAnsi="Arial" w:cs="Arial"/>
          <w:sz w:val="20"/>
          <w:szCs w:val="20"/>
        </w:rPr>
        <w:t> </w:t>
      </w:r>
      <w:r w:rsidRPr="00293C68">
        <w:rPr>
          <w:rFonts w:ascii="Arial" w:hAnsi="Arial" w:cs="Arial"/>
          <w:sz w:val="20"/>
          <w:szCs w:val="20"/>
        </w:rPr>
        <w:t xml:space="preserve">0,70 </w:t>
      </w:r>
      <w:r w:rsidR="009A5FC1" w:rsidRPr="00293C68">
        <w:rPr>
          <w:rFonts w:ascii="Arial" w:eastAsia="Symbol" w:hAnsi="Arial" w:cs="Arial"/>
          <w:sz w:val="20"/>
          <w:szCs w:val="20"/>
        </w:rPr>
        <w:t>×</w:t>
      </w:r>
      <w:r w:rsidR="009A5FC1" w:rsidRPr="00293C68">
        <w:rPr>
          <w:rFonts w:ascii="Arial" w:hAnsi="Arial" w:cs="Arial"/>
          <w:sz w:val="20"/>
          <w:szCs w:val="20"/>
        </w:rPr>
        <w:t> </w:t>
      </w:r>
      <w:r w:rsidRPr="00293C68">
        <w:rPr>
          <w:rFonts w:ascii="Arial" w:hAnsi="Arial" w:cs="Arial"/>
          <w:sz w:val="20"/>
          <w:szCs w:val="20"/>
        </w:rPr>
        <w:t xml:space="preserve">5 = </w:t>
      </w:r>
      <w:r w:rsidR="005F247A" w:rsidRPr="00293C68">
        <w:rPr>
          <w:rFonts w:ascii="Arial" w:hAnsi="Arial" w:cs="Arial"/>
          <w:sz w:val="20"/>
          <w:szCs w:val="20"/>
        </w:rPr>
        <w:t>45,5</w:t>
      </w:r>
      <w:r w:rsidRPr="00293C68">
        <w:rPr>
          <w:rFonts w:ascii="Arial" w:hAnsi="Arial" w:cs="Arial"/>
          <w:color w:val="EE0000"/>
          <w:sz w:val="20"/>
          <w:szCs w:val="20"/>
        </w:rPr>
        <w:t xml:space="preserve"> </w:t>
      </w:r>
      <w:r w:rsidRPr="00293C68">
        <w:rPr>
          <w:rFonts w:ascii="Arial" w:hAnsi="Arial" w:cs="Arial"/>
          <w:sz w:val="20"/>
          <w:szCs w:val="20"/>
        </w:rPr>
        <w:t>MW.</w:t>
      </w:r>
    </w:p>
    <w:p w14:paraId="71209D3E" w14:textId="39A5DFCB" w:rsidR="000838EF" w:rsidRPr="00293C68" w:rsidRDefault="00A16D48" w:rsidP="00A04ECB">
      <w:pPr>
        <w:spacing w:before="120" w:after="120" w:line="276" w:lineRule="auto"/>
        <w:jc w:val="both"/>
        <w:rPr>
          <w:rFonts w:ascii="Arial" w:hAnsi="Arial" w:cs="Arial"/>
          <w:sz w:val="20"/>
          <w:szCs w:val="20"/>
        </w:rPr>
      </w:pPr>
      <w:r w:rsidRPr="00293C68">
        <w:rPr>
          <w:rFonts w:ascii="Arial" w:hAnsi="Arial" w:cs="Arial"/>
          <w:sz w:val="20"/>
          <w:szCs w:val="20"/>
        </w:rPr>
        <w:t>Územní opatření se pořizuje společně se změnou územně plánovací dokumentac</w:t>
      </w:r>
      <w:r w:rsidR="003A5714" w:rsidRPr="00293C68">
        <w:rPr>
          <w:rFonts w:ascii="Arial" w:hAnsi="Arial" w:cs="Arial"/>
          <w:sz w:val="20"/>
          <w:szCs w:val="20"/>
        </w:rPr>
        <w:t>e</w:t>
      </w:r>
      <w:r w:rsidRPr="00293C68">
        <w:rPr>
          <w:rFonts w:ascii="Arial" w:hAnsi="Arial" w:cs="Arial"/>
          <w:sz w:val="20"/>
          <w:szCs w:val="20"/>
        </w:rPr>
        <w:t xml:space="preserve">. O pořízení </w:t>
      </w:r>
      <w:r w:rsidR="00FD1D92" w:rsidRPr="00293C68">
        <w:rPr>
          <w:rFonts w:ascii="Arial" w:hAnsi="Arial" w:cs="Arial"/>
          <w:sz w:val="20"/>
          <w:szCs w:val="20"/>
        </w:rPr>
        <w:t xml:space="preserve">Změny </w:t>
      </w:r>
      <w:r w:rsidRPr="00293C68">
        <w:rPr>
          <w:rFonts w:ascii="Arial" w:hAnsi="Arial" w:cs="Arial"/>
          <w:sz w:val="20"/>
          <w:szCs w:val="20"/>
        </w:rPr>
        <w:t xml:space="preserve">č. </w:t>
      </w:r>
      <w:r w:rsidR="000D77D6" w:rsidRPr="00293C68">
        <w:rPr>
          <w:rFonts w:ascii="Arial" w:hAnsi="Arial" w:cs="Arial"/>
          <w:sz w:val="20"/>
          <w:szCs w:val="20"/>
        </w:rPr>
        <w:t>2</w:t>
      </w:r>
      <w:r w:rsidRPr="00293C68">
        <w:rPr>
          <w:rFonts w:ascii="Arial" w:hAnsi="Arial" w:cs="Arial"/>
          <w:sz w:val="20"/>
          <w:szCs w:val="20"/>
        </w:rPr>
        <w:t xml:space="preserve"> </w:t>
      </w:r>
      <w:r w:rsidR="006F5928" w:rsidRPr="00293C68">
        <w:rPr>
          <w:rFonts w:ascii="Arial" w:hAnsi="Arial" w:cs="Arial"/>
          <w:b/>
          <w:bCs/>
          <w:sz w:val="20"/>
          <w:szCs w:val="20"/>
        </w:rPr>
        <w:t xml:space="preserve">územního rozvojového plánu </w:t>
      </w:r>
      <w:r w:rsidRPr="00293C68">
        <w:rPr>
          <w:rFonts w:ascii="Arial" w:hAnsi="Arial" w:cs="Arial"/>
          <w:sz w:val="20"/>
          <w:szCs w:val="20"/>
        </w:rPr>
        <w:t>rozhodl</w:t>
      </w:r>
      <w:r w:rsidR="006F5928" w:rsidRPr="00293C68">
        <w:rPr>
          <w:rFonts w:ascii="Arial" w:hAnsi="Arial" w:cs="Arial"/>
          <w:sz w:val="20"/>
          <w:szCs w:val="20"/>
        </w:rPr>
        <w:t>a</w:t>
      </w:r>
      <w:r w:rsidRPr="00293C68">
        <w:rPr>
          <w:rFonts w:ascii="Arial" w:hAnsi="Arial" w:cs="Arial"/>
          <w:sz w:val="20"/>
          <w:szCs w:val="20"/>
        </w:rPr>
        <w:t xml:space="preserve"> </w:t>
      </w:r>
      <w:r w:rsidR="006F5928" w:rsidRPr="00293C68">
        <w:rPr>
          <w:rFonts w:ascii="Arial" w:hAnsi="Arial" w:cs="Arial"/>
          <w:sz w:val="20"/>
          <w:szCs w:val="20"/>
        </w:rPr>
        <w:t>Vláda</w:t>
      </w:r>
      <w:r w:rsidRPr="00293C68">
        <w:rPr>
          <w:rFonts w:ascii="Arial" w:hAnsi="Arial" w:cs="Arial"/>
          <w:sz w:val="20"/>
          <w:szCs w:val="20"/>
        </w:rPr>
        <w:t xml:space="preserve"> dne </w:t>
      </w:r>
      <w:bookmarkStart w:id="0" w:name="_Hlk214038986"/>
      <w:r w:rsidR="006F5928" w:rsidRPr="00293C68">
        <w:rPr>
          <w:rFonts w:ascii="Arial" w:hAnsi="Arial" w:cs="Arial"/>
          <w:sz w:val="20"/>
          <w:szCs w:val="20"/>
        </w:rPr>
        <w:t>2</w:t>
      </w:r>
      <w:r w:rsidR="00991287" w:rsidRPr="00293C68">
        <w:rPr>
          <w:rFonts w:ascii="Arial" w:hAnsi="Arial" w:cs="Arial"/>
          <w:sz w:val="20"/>
          <w:szCs w:val="20"/>
        </w:rPr>
        <w:t>2</w:t>
      </w:r>
      <w:r w:rsidR="000D77D6" w:rsidRPr="00293C68">
        <w:rPr>
          <w:rFonts w:ascii="Arial" w:hAnsi="Arial" w:cs="Arial"/>
          <w:sz w:val="20"/>
          <w:szCs w:val="20"/>
        </w:rPr>
        <w:t xml:space="preserve">. </w:t>
      </w:r>
      <w:r w:rsidR="006F5928" w:rsidRPr="00293C68">
        <w:rPr>
          <w:rFonts w:ascii="Arial" w:hAnsi="Arial" w:cs="Arial"/>
          <w:sz w:val="20"/>
          <w:szCs w:val="20"/>
        </w:rPr>
        <w:t>10</w:t>
      </w:r>
      <w:r w:rsidR="000D77D6" w:rsidRPr="00293C68">
        <w:rPr>
          <w:rFonts w:ascii="Arial" w:hAnsi="Arial" w:cs="Arial"/>
          <w:sz w:val="20"/>
          <w:szCs w:val="20"/>
        </w:rPr>
        <w:t>. 202</w:t>
      </w:r>
      <w:r w:rsidR="006F5928" w:rsidRPr="00293C68">
        <w:rPr>
          <w:rFonts w:ascii="Arial" w:hAnsi="Arial" w:cs="Arial"/>
          <w:sz w:val="20"/>
          <w:szCs w:val="20"/>
        </w:rPr>
        <w:t>5</w:t>
      </w:r>
      <w:r w:rsidRPr="00293C68">
        <w:rPr>
          <w:rFonts w:ascii="Arial" w:hAnsi="Arial" w:cs="Arial"/>
          <w:sz w:val="20"/>
          <w:szCs w:val="20"/>
        </w:rPr>
        <w:t xml:space="preserve"> usnesením č. </w:t>
      </w:r>
      <w:r w:rsidR="00190E5A" w:rsidRPr="00293C68">
        <w:rPr>
          <w:rFonts w:ascii="Arial" w:hAnsi="Arial" w:cs="Arial"/>
          <w:sz w:val="20"/>
          <w:szCs w:val="20"/>
        </w:rPr>
        <w:t>811</w:t>
      </w:r>
      <w:r w:rsidR="000D77D6" w:rsidRPr="00293C68">
        <w:rPr>
          <w:rFonts w:ascii="Arial" w:hAnsi="Arial" w:cs="Arial"/>
          <w:sz w:val="20"/>
          <w:szCs w:val="20"/>
        </w:rPr>
        <w:t>/202</w:t>
      </w:r>
      <w:r w:rsidR="006F5928" w:rsidRPr="00293C68">
        <w:rPr>
          <w:rFonts w:ascii="Arial" w:hAnsi="Arial" w:cs="Arial"/>
          <w:sz w:val="20"/>
          <w:szCs w:val="20"/>
        </w:rPr>
        <w:t>5</w:t>
      </w:r>
      <w:bookmarkEnd w:id="0"/>
      <w:r w:rsidRPr="00293C68">
        <w:rPr>
          <w:rFonts w:ascii="Arial" w:hAnsi="Arial" w:cs="Arial"/>
          <w:sz w:val="20"/>
          <w:szCs w:val="20"/>
        </w:rPr>
        <w:t>.</w:t>
      </w:r>
      <w:r w:rsidR="000838EF" w:rsidRPr="00293C68">
        <w:rPr>
          <w:rFonts w:ascii="Arial" w:hAnsi="Arial" w:cs="Arial"/>
          <w:sz w:val="20"/>
          <w:szCs w:val="20"/>
        </w:rPr>
        <w:t xml:space="preserve"> </w:t>
      </w:r>
    </w:p>
    <w:p w14:paraId="3C41AF7D" w14:textId="1BF49916" w:rsidR="00653008" w:rsidRPr="00293C68" w:rsidRDefault="00A5026B" w:rsidP="00A04ECB">
      <w:pPr>
        <w:spacing w:before="120" w:after="120" w:line="276" w:lineRule="auto"/>
        <w:jc w:val="both"/>
        <w:rPr>
          <w:rFonts w:ascii="Arial" w:hAnsi="Arial" w:cs="Arial"/>
          <w:sz w:val="20"/>
          <w:szCs w:val="20"/>
        </w:rPr>
      </w:pPr>
      <w:r w:rsidRPr="00293C68">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sidRPr="00293C68">
        <w:rPr>
          <w:rFonts w:ascii="Arial" w:hAnsi="Arial" w:cs="Arial"/>
          <w:sz w:val="20"/>
          <w:szCs w:val="20"/>
        </w:rPr>
        <w:t>Vláda ČR</w:t>
      </w:r>
      <w:r w:rsidRPr="00293C68">
        <w:rPr>
          <w:rFonts w:ascii="Arial" w:hAnsi="Arial" w:cs="Arial"/>
          <w:sz w:val="20"/>
          <w:szCs w:val="20"/>
        </w:rPr>
        <w:t>.</w:t>
      </w:r>
    </w:p>
    <w:p w14:paraId="712834CA" w14:textId="3CCC9F09" w:rsidR="00A5026B" w:rsidRPr="00293C68" w:rsidRDefault="00A5026B" w:rsidP="00A04ECB">
      <w:pPr>
        <w:spacing w:before="120" w:after="120" w:line="276" w:lineRule="auto"/>
        <w:jc w:val="both"/>
        <w:rPr>
          <w:rFonts w:ascii="Arial" w:hAnsi="Arial" w:cs="Arial"/>
          <w:sz w:val="20"/>
          <w:szCs w:val="20"/>
        </w:rPr>
      </w:pPr>
      <w:r w:rsidRPr="00293C68">
        <w:rPr>
          <w:rFonts w:ascii="Arial" w:hAnsi="Arial" w:cs="Arial"/>
          <w:sz w:val="20"/>
          <w:szCs w:val="20"/>
        </w:rPr>
        <w:t xml:space="preserve">Pořizovatelem územního opatření je podle § 9 odst. 1 ZOZE pořizovatel územně plánovací dokumentace, </w:t>
      </w:r>
      <w:bookmarkStart w:id="1" w:name="_Hlk165554460"/>
      <w:r w:rsidRPr="00293C68">
        <w:rPr>
          <w:rFonts w:ascii="Arial" w:hAnsi="Arial" w:cs="Arial"/>
          <w:sz w:val="20"/>
          <w:szCs w:val="20"/>
        </w:rPr>
        <w:t>kterou se vymezuje nebo byla vymezena akcelerační oblast</w:t>
      </w:r>
      <w:bookmarkEnd w:id="1"/>
      <w:r w:rsidRPr="00293C68">
        <w:rPr>
          <w:rFonts w:ascii="Arial" w:hAnsi="Arial" w:cs="Arial"/>
          <w:sz w:val="20"/>
          <w:szCs w:val="20"/>
        </w:rPr>
        <w:t xml:space="preserve">. Tímto orgánem je </w:t>
      </w:r>
      <w:r w:rsidR="006F5928" w:rsidRPr="00293C68">
        <w:rPr>
          <w:rFonts w:ascii="Arial" w:hAnsi="Arial" w:cs="Arial"/>
          <w:sz w:val="20"/>
          <w:szCs w:val="20"/>
        </w:rPr>
        <w:t>Ministerstvo pro místní rozvoj</w:t>
      </w:r>
      <w:r w:rsidRPr="00293C68">
        <w:rPr>
          <w:rFonts w:ascii="Arial" w:hAnsi="Arial" w:cs="Arial"/>
          <w:sz w:val="20"/>
          <w:szCs w:val="20"/>
        </w:rPr>
        <w:t>.</w:t>
      </w:r>
    </w:p>
    <w:p w14:paraId="6B921748" w14:textId="77777777" w:rsidR="004015C4" w:rsidRPr="00293C68" w:rsidRDefault="004015C4" w:rsidP="00A04ECB">
      <w:pPr>
        <w:spacing w:before="120" w:after="120" w:line="276" w:lineRule="auto"/>
        <w:jc w:val="both"/>
        <w:rPr>
          <w:rFonts w:ascii="Arial" w:hAnsi="Arial" w:cs="Arial"/>
          <w:sz w:val="20"/>
          <w:szCs w:val="20"/>
        </w:rPr>
      </w:pPr>
      <w:r w:rsidRPr="00293C68">
        <w:rPr>
          <w:rFonts w:ascii="Arial" w:hAnsi="Arial" w:cs="Arial"/>
          <w:sz w:val="20"/>
          <w:szCs w:val="20"/>
        </w:rPr>
        <w:t>Návrh územního opatření zpracovali v souladu s cíli a úkoly územního plánování</w:t>
      </w:r>
    </w:p>
    <w:p w14:paraId="59B94ED9" w14:textId="3E61DFE1" w:rsidR="004015C4" w:rsidRPr="00293C68" w:rsidRDefault="006F5928" w:rsidP="00A04ECB">
      <w:pPr>
        <w:spacing w:before="120" w:after="120" w:line="276" w:lineRule="auto"/>
        <w:jc w:val="both"/>
        <w:rPr>
          <w:rFonts w:ascii="Arial" w:hAnsi="Arial" w:cs="Arial"/>
          <w:sz w:val="20"/>
          <w:szCs w:val="20"/>
        </w:rPr>
      </w:pPr>
      <w:bookmarkStart w:id="2" w:name="_Hlk214039024"/>
      <w:r w:rsidRPr="00293C68">
        <w:rPr>
          <w:rFonts w:ascii="Arial" w:hAnsi="Arial" w:cs="Arial"/>
          <w:sz w:val="20"/>
          <w:szCs w:val="20"/>
        </w:rPr>
        <w:t>Ing. arch. Martina Kabelková</w:t>
      </w:r>
      <w:r w:rsidR="004015C4" w:rsidRPr="00293C68">
        <w:rPr>
          <w:rFonts w:ascii="Arial" w:hAnsi="Arial" w:cs="Arial"/>
          <w:sz w:val="20"/>
          <w:szCs w:val="20"/>
        </w:rPr>
        <w:t xml:space="preserve">, číslo autorizace ČKA </w:t>
      </w:r>
      <w:r w:rsidR="00DA361C" w:rsidRPr="00293C68">
        <w:rPr>
          <w:rFonts w:ascii="Arial" w:hAnsi="Arial" w:cs="Arial"/>
          <w:sz w:val="20"/>
          <w:szCs w:val="20"/>
        </w:rPr>
        <w:t>0</w:t>
      </w:r>
      <w:r w:rsidRPr="00293C68">
        <w:rPr>
          <w:rFonts w:ascii="Arial" w:hAnsi="Arial" w:cs="Arial"/>
          <w:sz w:val="20"/>
          <w:szCs w:val="20"/>
        </w:rPr>
        <w:t>3</w:t>
      </w:r>
      <w:r w:rsidR="00DA361C" w:rsidRPr="00293C68">
        <w:rPr>
          <w:rFonts w:ascii="Arial" w:hAnsi="Arial" w:cs="Arial"/>
          <w:sz w:val="20"/>
          <w:szCs w:val="20"/>
        </w:rPr>
        <w:t> </w:t>
      </w:r>
      <w:r w:rsidRPr="00293C68">
        <w:rPr>
          <w:rFonts w:ascii="Arial" w:hAnsi="Arial" w:cs="Arial"/>
          <w:sz w:val="20"/>
          <w:szCs w:val="20"/>
        </w:rPr>
        <w:t>844</w:t>
      </w:r>
      <w:r w:rsidR="004015C4" w:rsidRPr="00293C68">
        <w:rPr>
          <w:rFonts w:ascii="Arial" w:hAnsi="Arial" w:cs="Arial"/>
          <w:sz w:val="20"/>
          <w:szCs w:val="20"/>
        </w:rPr>
        <w:t>, projektant oprávněný zpracovat územně plánovací dokumentaci,</w:t>
      </w:r>
    </w:p>
    <w:p w14:paraId="54C92245" w14:textId="77777777" w:rsidR="008C2631" w:rsidRPr="00293C68" w:rsidRDefault="005469CB" w:rsidP="00A04ECB">
      <w:pPr>
        <w:spacing w:before="120" w:after="120" w:line="276" w:lineRule="auto"/>
        <w:jc w:val="both"/>
        <w:rPr>
          <w:rFonts w:ascii="Arial" w:hAnsi="Arial" w:cs="Arial"/>
          <w:sz w:val="20"/>
          <w:szCs w:val="20"/>
        </w:rPr>
      </w:pPr>
      <w:r w:rsidRPr="00293C68">
        <w:rPr>
          <w:rFonts w:ascii="Arial" w:hAnsi="Arial" w:cs="Arial"/>
          <w:sz w:val="20"/>
          <w:szCs w:val="20"/>
        </w:rPr>
        <w:lastRenderedPageBreak/>
        <w:t>Ing. Pavla Žídková</w:t>
      </w:r>
      <w:r w:rsidR="00015084" w:rsidRPr="00293C68">
        <w:rPr>
          <w:rFonts w:ascii="Arial" w:hAnsi="Arial" w:cs="Arial"/>
          <w:sz w:val="20"/>
          <w:szCs w:val="20"/>
        </w:rPr>
        <w:t xml:space="preserve"> autorizovaná osoba</w:t>
      </w:r>
      <w:r w:rsidRPr="00293C68">
        <w:rPr>
          <w:rFonts w:ascii="Arial" w:hAnsi="Arial" w:cs="Arial"/>
          <w:sz w:val="20"/>
          <w:szCs w:val="20"/>
        </w:rPr>
        <w:t xml:space="preserve"> (osvědčení č.j.094/435/OPVŽP/95, prodlouženo rozhodnutím č.j. MZP/2021/710/4653) </w:t>
      </w:r>
      <w:r w:rsidR="004015C4" w:rsidRPr="00293C68">
        <w:rPr>
          <w:rFonts w:ascii="Arial" w:hAnsi="Arial" w:cs="Arial"/>
          <w:sz w:val="20"/>
          <w:szCs w:val="20"/>
        </w:rPr>
        <w:t xml:space="preserve">podle § 19 zákona </w:t>
      </w:r>
      <w:r w:rsidR="00C70B10" w:rsidRPr="00293C68">
        <w:rPr>
          <w:rFonts w:ascii="Arial" w:hAnsi="Arial" w:cs="Arial"/>
          <w:sz w:val="20"/>
          <w:szCs w:val="20"/>
        </w:rPr>
        <w:t>č. 100/2001 Sb., o posuzování vlivů na životní prostředí</w:t>
      </w:r>
      <w:r w:rsidR="004015C4" w:rsidRPr="00293C68">
        <w:rPr>
          <w:rFonts w:ascii="Arial" w:hAnsi="Arial" w:cs="Arial"/>
          <w:sz w:val="20"/>
          <w:szCs w:val="20"/>
        </w:rPr>
        <w:t>,</w:t>
      </w:r>
      <w:r w:rsidR="00015084" w:rsidRPr="00293C68">
        <w:rPr>
          <w:rFonts w:ascii="Arial" w:hAnsi="Arial" w:cs="Arial"/>
          <w:sz w:val="20"/>
          <w:szCs w:val="20"/>
        </w:rPr>
        <w:t xml:space="preserve"> </w:t>
      </w:r>
    </w:p>
    <w:p w14:paraId="694239EA" w14:textId="77777777" w:rsidR="003E65EA" w:rsidRDefault="005469CB" w:rsidP="00A04ECB">
      <w:pPr>
        <w:spacing w:before="120" w:after="120" w:line="276" w:lineRule="auto"/>
        <w:jc w:val="both"/>
        <w:rPr>
          <w:rFonts w:ascii="Arial" w:hAnsi="Arial" w:cs="Arial"/>
          <w:sz w:val="20"/>
          <w:szCs w:val="20"/>
        </w:rPr>
      </w:pPr>
      <w:r w:rsidRPr="00293C68">
        <w:rPr>
          <w:rFonts w:ascii="Arial" w:hAnsi="Arial" w:cs="Arial"/>
          <w:sz w:val="20"/>
          <w:szCs w:val="20"/>
        </w:rPr>
        <w:t xml:space="preserve">Mgr. Zdeněk Frélich </w:t>
      </w:r>
      <w:r w:rsidR="00C70B10" w:rsidRPr="00293C68">
        <w:rPr>
          <w:rFonts w:ascii="Arial" w:hAnsi="Arial" w:cs="Arial"/>
          <w:sz w:val="20"/>
          <w:szCs w:val="20"/>
        </w:rPr>
        <w:t xml:space="preserve">autorizovaná osoba </w:t>
      </w:r>
      <w:r w:rsidR="00015084" w:rsidRPr="00293C68">
        <w:rPr>
          <w:rFonts w:ascii="Arial" w:hAnsi="Arial" w:cs="Arial"/>
          <w:sz w:val="20"/>
          <w:szCs w:val="20"/>
        </w:rPr>
        <w:t xml:space="preserve">(č.j. autorizace: 101346/ENV/09-3093/630/09 – prodlouženo rozhodnutím č.j. MZP/2024/630/2390 do 30.11.2029) </w:t>
      </w:r>
      <w:r w:rsidR="004015C4" w:rsidRPr="00293C68">
        <w:rPr>
          <w:rFonts w:ascii="Arial" w:hAnsi="Arial" w:cs="Arial"/>
          <w:sz w:val="20"/>
          <w:szCs w:val="20"/>
        </w:rPr>
        <w:t xml:space="preserve">dle § 45j zákona </w:t>
      </w:r>
      <w:r w:rsidR="00C70B10" w:rsidRPr="00293C68">
        <w:rPr>
          <w:rFonts w:ascii="Arial" w:hAnsi="Arial" w:cs="Arial"/>
          <w:sz w:val="20"/>
          <w:szCs w:val="20"/>
        </w:rPr>
        <w:t>č. 114/1992 Sb., o ochraně přírody a krajiny</w:t>
      </w:r>
      <w:bookmarkEnd w:id="2"/>
      <w:r w:rsidR="003E65EA">
        <w:rPr>
          <w:rFonts w:ascii="Arial" w:hAnsi="Arial" w:cs="Arial"/>
          <w:sz w:val="20"/>
          <w:szCs w:val="20"/>
        </w:rPr>
        <w:t>,</w:t>
      </w:r>
    </w:p>
    <w:p w14:paraId="4BB52CF3" w14:textId="77777777" w:rsidR="00065447" w:rsidRDefault="003E65EA" w:rsidP="00A04EC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065447">
        <w:rPr>
          <w:rFonts w:ascii="Arial" w:hAnsi="Arial" w:cs="Arial"/>
          <w:sz w:val="20"/>
          <w:szCs w:val="20"/>
        </w:rPr>
        <w:t>,</w:t>
      </w:r>
    </w:p>
    <w:p w14:paraId="192F39C5" w14:textId="432581A7" w:rsidR="004015C4" w:rsidRPr="00293C68" w:rsidRDefault="00065447" w:rsidP="00A04ECB">
      <w:pPr>
        <w:spacing w:before="120" w:after="120" w:line="276" w:lineRule="auto"/>
        <w:jc w:val="both"/>
        <w:rPr>
          <w:rFonts w:ascii="Arial" w:hAnsi="Arial" w:cs="Arial"/>
          <w:sz w:val="20"/>
          <w:szCs w:val="20"/>
        </w:rPr>
      </w:pPr>
      <w:r w:rsidRPr="00065447">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CD71C23" w:rsidR="004E5D06" w:rsidRPr="00293C68" w:rsidRDefault="007A4E97" w:rsidP="00A04ECB">
      <w:pPr>
        <w:spacing w:before="120" w:after="120" w:line="276" w:lineRule="auto"/>
        <w:jc w:val="both"/>
        <w:rPr>
          <w:rFonts w:ascii="Arial" w:hAnsi="Arial" w:cs="Arial"/>
          <w:sz w:val="20"/>
          <w:szCs w:val="20"/>
        </w:rPr>
      </w:pPr>
      <w:r w:rsidRPr="00293C68">
        <w:rPr>
          <w:rFonts w:ascii="Arial" w:hAnsi="Arial" w:cs="Arial"/>
          <w:sz w:val="20"/>
          <w:szCs w:val="20"/>
        </w:rPr>
        <w:t xml:space="preserve">Územní opatření stanovuje v souladu s § 7 odst. 2 ZOZE a s cíli a úkoly územního plánování uvedenými v § 38 a 39 stavebního zákona </w:t>
      </w:r>
      <w:r w:rsidR="004E5D06" w:rsidRPr="00293C68">
        <w:rPr>
          <w:rFonts w:ascii="Arial" w:hAnsi="Arial" w:cs="Arial"/>
          <w:sz w:val="20"/>
          <w:szCs w:val="20"/>
        </w:rPr>
        <w:t>podmínky a zmírňující opatření pro povolení, provedení nebo užívání záměrů OZE.</w:t>
      </w:r>
    </w:p>
    <w:p w14:paraId="3057E2EE" w14:textId="4CC2EBA6" w:rsidR="00573B45" w:rsidRPr="00293C68" w:rsidRDefault="004E5D06" w:rsidP="00A04ECB">
      <w:pPr>
        <w:spacing w:before="120" w:after="120" w:line="276" w:lineRule="auto"/>
        <w:jc w:val="both"/>
        <w:rPr>
          <w:rFonts w:ascii="Arial" w:hAnsi="Arial" w:cs="Arial"/>
          <w:sz w:val="20"/>
          <w:szCs w:val="20"/>
        </w:rPr>
      </w:pPr>
      <w:r w:rsidRPr="00293C68">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293C68">
        <w:rPr>
          <w:rFonts w:ascii="Arial" w:hAnsi="Arial" w:cs="Arial"/>
          <w:sz w:val="20"/>
          <w:szCs w:val="20"/>
        </w:rPr>
        <w:t xml:space="preserve">na životní prostředí </w:t>
      </w:r>
      <w:bookmarkStart w:id="3" w:name="_Hlk214039045"/>
      <w:r w:rsidR="00573B45" w:rsidRPr="00293C68">
        <w:rPr>
          <w:rFonts w:ascii="Arial" w:hAnsi="Arial" w:cs="Arial"/>
          <w:sz w:val="20"/>
          <w:szCs w:val="20"/>
        </w:rPr>
        <w:t xml:space="preserve">– </w:t>
      </w:r>
      <w:r w:rsidR="00C70B10" w:rsidRPr="00293C68">
        <w:rPr>
          <w:rFonts w:ascii="Arial" w:hAnsi="Arial" w:cs="Arial"/>
          <w:sz w:val="20"/>
          <w:szCs w:val="20"/>
        </w:rPr>
        <w:t>Ing. Pavla Žídková</w:t>
      </w:r>
      <w:r w:rsidR="00573B45" w:rsidRPr="00293C68">
        <w:rPr>
          <w:rFonts w:ascii="Arial" w:hAnsi="Arial" w:cs="Arial"/>
          <w:sz w:val="20"/>
          <w:szCs w:val="20"/>
        </w:rPr>
        <w:t xml:space="preserve">, a osoba s autorizací podle § 45j zákona o ochraně přírody a krajiny – </w:t>
      </w:r>
      <w:r w:rsidR="00C70B10" w:rsidRPr="00293C68">
        <w:rPr>
          <w:rFonts w:ascii="Arial" w:hAnsi="Arial" w:cs="Arial"/>
          <w:sz w:val="20"/>
          <w:szCs w:val="20"/>
        </w:rPr>
        <w:t>Mgr. Zdeněk Frélich</w:t>
      </w:r>
      <w:bookmarkEnd w:id="3"/>
      <w:r w:rsidR="00573B45" w:rsidRPr="00293C68">
        <w:rPr>
          <w:rFonts w:ascii="Arial" w:hAnsi="Arial" w:cs="Arial"/>
          <w:sz w:val="20"/>
          <w:szCs w:val="20"/>
        </w:rPr>
        <w:t>.</w:t>
      </w:r>
    </w:p>
    <w:p w14:paraId="2EB50A97" w14:textId="69AE7CFF" w:rsidR="00573B45" w:rsidRPr="00293C68" w:rsidRDefault="00573B45" w:rsidP="00A04ECB">
      <w:pPr>
        <w:spacing w:before="120" w:after="120" w:line="276" w:lineRule="auto"/>
        <w:jc w:val="both"/>
        <w:rPr>
          <w:rFonts w:ascii="Arial" w:hAnsi="Arial" w:cs="Arial"/>
          <w:sz w:val="20"/>
          <w:szCs w:val="20"/>
        </w:rPr>
      </w:pPr>
      <w:r w:rsidRPr="00293C68">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7730AF67" w14:textId="1FBF335C" w:rsidR="007A4E97" w:rsidRPr="00293C68" w:rsidRDefault="007A4E97" w:rsidP="00A04ECB">
      <w:pPr>
        <w:spacing w:before="120" w:after="120" w:line="276" w:lineRule="auto"/>
        <w:jc w:val="both"/>
        <w:rPr>
          <w:rFonts w:ascii="Arial" w:hAnsi="Arial" w:cs="Arial"/>
          <w:sz w:val="20"/>
          <w:szCs w:val="20"/>
        </w:rPr>
      </w:pPr>
      <w:r w:rsidRPr="00293C68">
        <w:rPr>
          <w:rFonts w:ascii="Arial" w:hAnsi="Arial" w:cs="Arial"/>
          <w:sz w:val="20"/>
          <w:szCs w:val="20"/>
        </w:rPr>
        <w:t>Jako podklad pro návrh podmínek v územním opatřen</w:t>
      </w:r>
      <w:r w:rsidR="00903D46" w:rsidRPr="00293C68">
        <w:rPr>
          <w:rFonts w:ascii="Arial" w:hAnsi="Arial" w:cs="Arial"/>
          <w:sz w:val="20"/>
          <w:szCs w:val="20"/>
        </w:rPr>
        <w:t>í</w:t>
      </w:r>
      <w:r w:rsidRPr="00293C68">
        <w:rPr>
          <w:rFonts w:ascii="Arial" w:hAnsi="Arial" w:cs="Arial"/>
          <w:sz w:val="20"/>
          <w:szCs w:val="20"/>
        </w:rPr>
        <w:t xml:space="preserve"> zajistil v předstihu orgán ochrany přírody</w:t>
      </w:r>
      <w:r w:rsidR="00015084" w:rsidRPr="00293C68">
        <w:rPr>
          <w:rFonts w:ascii="Arial" w:hAnsi="Arial" w:cs="Arial"/>
          <w:sz w:val="20"/>
          <w:szCs w:val="20"/>
        </w:rPr>
        <w:t xml:space="preserve"> (MŽP prostřednictvím zasmluvněného zpracovatele) </w:t>
      </w:r>
      <w:r w:rsidRPr="00293C68">
        <w:rPr>
          <w:rFonts w:ascii="Arial" w:hAnsi="Arial" w:cs="Arial"/>
          <w:sz w:val="20"/>
          <w:szCs w:val="20"/>
        </w:rPr>
        <w:t>zpracování</w:t>
      </w:r>
      <w:r w:rsidR="00015084" w:rsidRPr="00293C68">
        <w:rPr>
          <w:rFonts w:ascii="Arial" w:hAnsi="Arial" w:cs="Arial"/>
          <w:sz w:val="20"/>
          <w:szCs w:val="20"/>
        </w:rPr>
        <w:t>m</w:t>
      </w:r>
      <w:r w:rsidRPr="00293C68">
        <w:rPr>
          <w:rFonts w:ascii="Arial" w:hAnsi="Arial" w:cs="Arial"/>
          <w:sz w:val="20"/>
          <w:szCs w:val="20"/>
        </w:rPr>
        <w:t xml:space="preserve"> posouzení podle § 11 odst. 4 ZOZE. </w:t>
      </w:r>
      <w:bookmarkStart w:id="4" w:name="_Hlk214039085"/>
      <w:r w:rsidR="00015084" w:rsidRPr="00293C68">
        <w:rPr>
          <w:rFonts w:ascii="Arial" w:hAnsi="Arial" w:cs="Arial"/>
          <w:sz w:val="20"/>
          <w:szCs w:val="20"/>
        </w:rPr>
        <w:t>Expertní</w:t>
      </w:r>
      <w:r w:rsidRPr="00293C68">
        <w:rPr>
          <w:rFonts w:ascii="Arial" w:hAnsi="Arial" w:cs="Arial"/>
          <w:sz w:val="20"/>
          <w:szCs w:val="20"/>
        </w:rPr>
        <w:t xml:space="preserve"> osobou </w:t>
      </w:r>
      <w:r w:rsidR="00015084" w:rsidRPr="00293C68">
        <w:rPr>
          <w:rFonts w:ascii="Arial" w:hAnsi="Arial" w:cs="Arial"/>
          <w:sz w:val="20"/>
          <w:szCs w:val="20"/>
        </w:rPr>
        <w:t xml:space="preserve">zpracovatele </w:t>
      </w:r>
      <w:r w:rsidRPr="00293C68">
        <w:rPr>
          <w:rFonts w:ascii="Arial" w:hAnsi="Arial" w:cs="Arial"/>
          <w:sz w:val="20"/>
          <w:szCs w:val="20"/>
        </w:rPr>
        <w:t xml:space="preserve">byl </w:t>
      </w:r>
      <w:r w:rsidR="000904B2" w:rsidRPr="00293C68">
        <w:rPr>
          <w:rFonts w:ascii="Arial" w:hAnsi="Arial" w:cs="Arial"/>
          <w:sz w:val="20"/>
          <w:szCs w:val="20"/>
        </w:rPr>
        <w:t>Mgr. Michal Kešner</w:t>
      </w:r>
      <w:r w:rsidR="003E65EA">
        <w:rPr>
          <w:rFonts w:ascii="Arial" w:hAnsi="Arial" w:cs="Arial"/>
          <w:sz w:val="20"/>
          <w:szCs w:val="20"/>
        </w:rPr>
        <w:t>, MSc</w:t>
      </w:r>
      <w:r w:rsidRPr="00293C68">
        <w:rPr>
          <w:rFonts w:ascii="Arial" w:hAnsi="Arial" w:cs="Arial"/>
          <w:sz w:val="20"/>
          <w:szCs w:val="20"/>
        </w:rPr>
        <w:t xml:space="preserve">. Posouzení bylo dokončeno </w:t>
      </w:r>
      <w:r w:rsidR="000F7283" w:rsidRPr="00293C68">
        <w:rPr>
          <w:rFonts w:ascii="Arial" w:hAnsi="Arial" w:cs="Arial"/>
          <w:sz w:val="20"/>
          <w:szCs w:val="20"/>
        </w:rPr>
        <w:t>k</w:t>
      </w:r>
      <w:r w:rsidRPr="00293C68">
        <w:rPr>
          <w:rFonts w:ascii="Arial" w:hAnsi="Arial" w:cs="Arial"/>
          <w:sz w:val="20"/>
          <w:szCs w:val="20"/>
        </w:rPr>
        <w:t xml:space="preserve"> </w:t>
      </w:r>
      <w:r w:rsidR="00FB7257" w:rsidRPr="00293C68">
        <w:rPr>
          <w:rFonts w:ascii="Arial" w:hAnsi="Arial" w:cs="Arial"/>
          <w:sz w:val="20"/>
          <w:szCs w:val="20"/>
        </w:rPr>
        <w:t>10</w:t>
      </w:r>
      <w:r w:rsidRPr="00293C68">
        <w:rPr>
          <w:rFonts w:ascii="Arial" w:hAnsi="Arial" w:cs="Arial"/>
          <w:sz w:val="20"/>
          <w:szCs w:val="20"/>
        </w:rPr>
        <w:t>. </w:t>
      </w:r>
      <w:r w:rsidR="00B904FC" w:rsidRPr="00293C68">
        <w:rPr>
          <w:rFonts w:ascii="Arial" w:hAnsi="Arial" w:cs="Arial"/>
          <w:sz w:val="20"/>
          <w:szCs w:val="20"/>
        </w:rPr>
        <w:t>1</w:t>
      </w:r>
      <w:r w:rsidR="00FB7257" w:rsidRPr="00293C68">
        <w:rPr>
          <w:rFonts w:ascii="Arial" w:hAnsi="Arial" w:cs="Arial"/>
          <w:sz w:val="20"/>
          <w:szCs w:val="20"/>
        </w:rPr>
        <w:t>2</w:t>
      </w:r>
      <w:r w:rsidRPr="00293C68">
        <w:rPr>
          <w:rFonts w:ascii="Arial" w:hAnsi="Arial" w:cs="Arial"/>
          <w:sz w:val="20"/>
          <w:szCs w:val="20"/>
        </w:rPr>
        <w:t>. 2025</w:t>
      </w:r>
      <w:bookmarkEnd w:id="4"/>
      <w:r w:rsidRPr="00293C68">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w:t>
      </w:r>
      <w:r w:rsidR="00A229C2">
        <w:rPr>
          <w:rFonts w:ascii="Arial" w:hAnsi="Arial" w:cs="Arial"/>
          <w:sz w:val="20"/>
          <w:szCs w:val="20"/>
        </w:rPr>
        <w:t> </w:t>
      </w:r>
      <w:r w:rsidRPr="00293C68">
        <w:rPr>
          <w:rFonts w:ascii="Arial" w:hAnsi="Arial" w:cs="Arial"/>
          <w:sz w:val="20"/>
          <w:szCs w:val="20"/>
        </w:rPr>
        <w:t xml:space="preserve">zahájením projednání návrhu územního opatření uplynula doba </w:t>
      </w:r>
      <w:r w:rsidR="008C2631" w:rsidRPr="00293C68">
        <w:rPr>
          <w:rFonts w:ascii="Arial" w:hAnsi="Arial" w:cs="Arial"/>
          <w:sz w:val="20"/>
          <w:szCs w:val="20"/>
        </w:rPr>
        <w:t>5</w:t>
      </w:r>
      <w:r w:rsidRPr="00293C68">
        <w:rPr>
          <w:rFonts w:ascii="Arial" w:hAnsi="Arial" w:cs="Arial"/>
          <w:sz w:val="20"/>
          <w:szCs w:val="20"/>
        </w:rPr>
        <w:t xml:space="preserve"> měsíců.</w:t>
      </w:r>
    </w:p>
    <w:p w14:paraId="41689604" w14:textId="23B10640" w:rsidR="00664196" w:rsidRPr="00293C68" w:rsidRDefault="00664196" w:rsidP="00A04ECB">
      <w:pPr>
        <w:spacing w:before="240" w:after="120" w:line="276" w:lineRule="auto"/>
        <w:jc w:val="both"/>
        <w:rPr>
          <w:rFonts w:ascii="Arial" w:hAnsi="Arial" w:cs="Arial"/>
          <w:sz w:val="20"/>
          <w:szCs w:val="20"/>
          <w:u w:val="single"/>
        </w:rPr>
      </w:pPr>
      <w:r w:rsidRPr="00293C68">
        <w:rPr>
          <w:rFonts w:ascii="Arial" w:hAnsi="Arial" w:cs="Arial"/>
          <w:sz w:val="20"/>
          <w:szCs w:val="20"/>
          <w:u w:val="single"/>
        </w:rPr>
        <w:t>K jednotlivým stanoveným podmínkám:</w:t>
      </w:r>
    </w:p>
    <w:p w14:paraId="40016740" w14:textId="343EC00F" w:rsidR="00F544BE" w:rsidRPr="00293C68" w:rsidRDefault="0800AE7A" w:rsidP="00A04ECB">
      <w:pPr>
        <w:spacing w:after="120" w:line="276" w:lineRule="auto"/>
        <w:jc w:val="both"/>
        <w:rPr>
          <w:rFonts w:ascii="Arial" w:hAnsi="Arial" w:cs="Arial"/>
          <w:sz w:val="20"/>
          <w:szCs w:val="20"/>
        </w:rPr>
      </w:pPr>
      <w:r w:rsidRPr="00293C68">
        <w:rPr>
          <w:rFonts w:ascii="Arial" w:hAnsi="Arial" w:cs="Arial"/>
          <w:sz w:val="20"/>
          <w:szCs w:val="20"/>
        </w:rPr>
        <w:t>Podmínka v odst. 3.1 písm. a) je stanovena zejména s ohledem na předvídatelnost z hlediska zajištění bezpečnosti letového provozu. Na trhu je k dispozici vícero typů větrných elektráren o výšce od terénu po horní úvrať listů rotorů kolem 245 m, tedy s rezervou méně než 250 m. Nadmořská výška akcelerační oblasti se pohybuje v rozmezí cca 380–4</w:t>
      </w:r>
      <w:r w:rsidR="004B1939" w:rsidRPr="00293C68">
        <w:rPr>
          <w:rFonts w:ascii="Arial" w:hAnsi="Arial" w:cs="Arial"/>
          <w:sz w:val="20"/>
          <w:szCs w:val="20"/>
        </w:rPr>
        <w:t>5</w:t>
      </w:r>
      <w:r w:rsidRPr="00293C68">
        <w:rPr>
          <w:rFonts w:ascii="Arial" w:hAnsi="Arial" w:cs="Arial"/>
          <w:sz w:val="20"/>
          <w:szCs w:val="20"/>
        </w:rPr>
        <w:t>0 m n. m. Z hlediska ochrany krajinného rázu je třeba zajistit ochranu panorama hradu Loket (ten je od lokality vzdálen 5 km</w:t>
      </w:r>
      <w:r w:rsidR="009F31AD" w:rsidRPr="00293C68">
        <w:rPr>
          <w:rFonts w:ascii="Arial" w:hAnsi="Arial" w:cs="Arial"/>
          <w:sz w:val="20"/>
          <w:szCs w:val="20"/>
        </w:rPr>
        <w:t xml:space="preserve">, přičemž z vyhlídky </w:t>
      </w:r>
      <w:r w:rsidR="00212F17" w:rsidRPr="00293C68">
        <w:rPr>
          <w:rFonts w:ascii="Arial" w:hAnsi="Arial" w:cs="Arial"/>
          <w:sz w:val="20"/>
          <w:szCs w:val="20"/>
        </w:rPr>
        <w:t>od Kamenitého potoka</w:t>
      </w:r>
      <w:r w:rsidR="00A56C6A" w:rsidRPr="00293C68">
        <w:rPr>
          <w:rFonts w:ascii="Arial" w:hAnsi="Arial" w:cs="Arial"/>
          <w:sz w:val="20"/>
          <w:szCs w:val="20"/>
        </w:rPr>
        <w:t xml:space="preserve"> v obci Loket</w:t>
      </w:r>
      <w:r w:rsidR="00212F17" w:rsidRPr="00293C68">
        <w:rPr>
          <w:rFonts w:ascii="Arial" w:hAnsi="Arial" w:cs="Arial"/>
          <w:sz w:val="20"/>
          <w:szCs w:val="20"/>
        </w:rPr>
        <w:t xml:space="preserve"> bude panorama</w:t>
      </w:r>
      <w:r w:rsidR="00A56C6A" w:rsidRPr="00293C68">
        <w:rPr>
          <w:rFonts w:ascii="Arial" w:hAnsi="Arial" w:cs="Arial"/>
          <w:sz w:val="20"/>
          <w:szCs w:val="20"/>
        </w:rPr>
        <w:t xml:space="preserve"> minimálně okrajově dotčeno</w:t>
      </w:r>
      <w:r w:rsidR="00FE7FA4" w:rsidRPr="00293C68">
        <w:rPr>
          <w:rFonts w:ascii="Arial" w:hAnsi="Arial" w:cs="Arial"/>
          <w:sz w:val="20"/>
          <w:szCs w:val="20"/>
        </w:rPr>
        <w:t>, ostatní pohledy dotčeny nebudou</w:t>
      </w:r>
      <w:r w:rsidR="00A56C6A" w:rsidRPr="00293C68">
        <w:rPr>
          <w:rFonts w:ascii="Arial" w:hAnsi="Arial" w:cs="Arial"/>
          <w:sz w:val="20"/>
          <w:szCs w:val="20"/>
        </w:rPr>
        <w:t>)</w:t>
      </w:r>
      <w:r w:rsidRPr="00293C68">
        <w:rPr>
          <w:rFonts w:ascii="Arial" w:hAnsi="Arial" w:cs="Arial"/>
          <w:sz w:val="20"/>
          <w:szCs w:val="20"/>
        </w:rPr>
        <w:t>.</w:t>
      </w:r>
    </w:p>
    <w:p w14:paraId="329263EE" w14:textId="25AFD04F" w:rsidR="00AA4E54" w:rsidRPr="00293C68" w:rsidRDefault="0025271A" w:rsidP="00A04ECB">
      <w:pPr>
        <w:spacing w:after="120" w:line="276" w:lineRule="auto"/>
        <w:jc w:val="both"/>
        <w:rPr>
          <w:rFonts w:ascii="Arial" w:hAnsi="Arial" w:cs="Arial"/>
          <w:sz w:val="20"/>
          <w:szCs w:val="20"/>
        </w:rPr>
      </w:pPr>
      <w:r w:rsidRPr="00293C68">
        <w:rPr>
          <w:rFonts w:ascii="Arial" w:hAnsi="Arial" w:cs="Arial"/>
          <w:sz w:val="20"/>
          <w:szCs w:val="20"/>
        </w:rPr>
        <w:t>Podmínka v odst. 3</w:t>
      </w:r>
      <w:r w:rsidR="00406D1B" w:rsidRPr="00293C68">
        <w:rPr>
          <w:rFonts w:ascii="Arial" w:hAnsi="Arial" w:cs="Arial"/>
          <w:sz w:val="20"/>
          <w:szCs w:val="20"/>
        </w:rPr>
        <w:t>.1</w:t>
      </w:r>
      <w:r w:rsidRPr="00293C68">
        <w:rPr>
          <w:rFonts w:ascii="Arial" w:hAnsi="Arial" w:cs="Arial"/>
          <w:sz w:val="20"/>
          <w:szCs w:val="20"/>
        </w:rPr>
        <w:t xml:space="preserve"> písm. </w:t>
      </w:r>
      <w:r w:rsidR="00EA3EF7" w:rsidRPr="00293C68">
        <w:rPr>
          <w:rFonts w:ascii="Arial" w:hAnsi="Arial" w:cs="Arial"/>
          <w:sz w:val="20"/>
          <w:szCs w:val="20"/>
        </w:rPr>
        <w:t>b</w:t>
      </w:r>
      <w:r w:rsidRPr="00293C68">
        <w:rPr>
          <w:rFonts w:ascii="Arial" w:hAnsi="Arial" w:cs="Arial"/>
          <w:sz w:val="20"/>
          <w:szCs w:val="20"/>
        </w:rPr>
        <w:t>)</w:t>
      </w:r>
      <w:r w:rsidR="008366E3" w:rsidRPr="00293C68">
        <w:rPr>
          <w:rFonts w:ascii="Arial" w:hAnsi="Arial" w:cs="Arial"/>
          <w:sz w:val="20"/>
          <w:szCs w:val="20"/>
        </w:rPr>
        <w:t xml:space="preserve"> je </w:t>
      </w:r>
      <w:r w:rsidR="00B42CDD" w:rsidRPr="00293C68">
        <w:rPr>
          <w:rFonts w:ascii="Arial" w:hAnsi="Arial" w:cs="Arial"/>
          <w:sz w:val="20"/>
          <w:szCs w:val="20"/>
        </w:rPr>
        <w:t>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Podmínka cílí zejména na pozemky podél drobných toků, které zasahují do akcelerační oblasti, a to zejména u Vintířovského potoka protékajícího těsně u severní hranice akcelerační oblasti. Vztahuje se ale i na další pozemky v akcelerační oblasti, pokud by měly charakter mokřadu, trvalého či občasného vodního toku. Obecná ustanovení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 4 odst. 1 písm. h) zákona č. 334/1992 Sb., o ochraně zemědělského půdního fondu, ve znění pozdějších předpisů) tím nejsou dotčena</w:t>
      </w:r>
      <w:r w:rsidR="008366E3" w:rsidRPr="00293C68">
        <w:rPr>
          <w:rFonts w:ascii="Arial" w:hAnsi="Arial" w:cs="Arial"/>
          <w:sz w:val="20"/>
          <w:szCs w:val="20"/>
        </w:rPr>
        <w:t>.</w:t>
      </w:r>
    </w:p>
    <w:p w14:paraId="440894DF" w14:textId="1CD4FB5F" w:rsidR="00941CC9" w:rsidRPr="00293C68" w:rsidRDefault="000247D2" w:rsidP="00941CC9">
      <w:pPr>
        <w:pStyle w:val="Zkladntext"/>
        <w:spacing w:line="276" w:lineRule="auto"/>
        <w:jc w:val="both"/>
      </w:pPr>
      <w:r w:rsidRPr="00293C68">
        <w:t>Podmínka v odst. 3</w:t>
      </w:r>
      <w:r w:rsidR="00406D1B" w:rsidRPr="00293C68">
        <w:t>.1</w:t>
      </w:r>
      <w:r w:rsidRPr="00293C68">
        <w:t xml:space="preserve"> písm. </w:t>
      </w:r>
      <w:r w:rsidR="00EA3EF7" w:rsidRPr="00293C68">
        <w:t>c</w:t>
      </w:r>
      <w:r w:rsidR="006472B1" w:rsidRPr="00293C68">
        <w:t>)</w:t>
      </w:r>
      <w:r w:rsidR="00EA3EF7" w:rsidRPr="00293C68">
        <w:t xml:space="preserve"> </w:t>
      </w:r>
      <w:r w:rsidR="008366E3" w:rsidRPr="00293C68">
        <w:t>je</w:t>
      </w:r>
      <w:r w:rsidR="00B97DF8" w:rsidRPr="00293C68">
        <w:t xml:space="preserve"> stanovena za účelem ochrany ptáků</w:t>
      </w:r>
      <w:r w:rsidR="00AA4E54">
        <w:t xml:space="preserve"> a netopýrů</w:t>
      </w:r>
      <w:r w:rsidR="00B97DF8" w:rsidRPr="00293C68">
        <w:t>, zejména na ochranu druhů: krkavec velký (</w:t>
      </w:r>
      <w:r w:rsidR="00B97DF8" w:rsidRPr="00293C68">
        <w:rPr>
          <w:i/>
          <w:iCs/>
        </w:rPr>
        <w:t>Corvus corax</w:t>
      </w:r>
      <w:r w:rsidR="00B97DF8" w:rsidRPr="00293C68">
        <w:t>), luňák červený (</w:t>
      </w:r>
      <w:r w:rsidR="00B97DF8" w:rsidRPr="00293C68">
        <w:rPr>
          <w:i/>
          <w:iCs/>
        </w:rPr>
        <w:t>Milvus milvus</w:t>
      </w:r>
      <w:r w:rsidR="00B97DF8" w:rsidRPr="00293C68">
        <w:t xml:space="preserve">), </w:t>
      </w:r>
      <w:r w:rsidR="00B97DF8" w:rsidRPr="00293C68">
        <w:rPr>
          <w:rFonts w:eastAsia="Arial"/>
        </w:rPr>
        <w:t>moták pilich (</w:t>
      </w:r>
      <w:r w:rsidR="00B97DF8" w:rsidRPr="00293C68">
        <w:rPr>
          <w:rFonts w:eastAsia="Arial"/>
          <w:i/>
          <w:iCs/>
        </w:rPr>
        <w:t>Circus cyaneus</w:t>
      </w:r>
      <w:r w:rsidR="00B97DF8" w:rsidRPr="00293C68">
        <w:rPr>
          <w:rFonts w:eastAsia="Arial"/>
        </w:rPr>
        <w:t xml:space="preserve">) nebo </w:t>
      </w:r>
      <w:r w:rsidR="00B97DF8" w:rsidRPr="00293C68">
        <w:rPr>
          <w:rFonts w:eastAsia="Arial"/>
        </w:rPr>
        <w:lastRenderedPageBreak/>
        <w:t>moták pochop (</w:t>
      </w:r>
      <w:r w:rsidR="00B97DF8" w:rsidRPr="00293C68">
        <w:rPr>
          <w:rFonts w:eastAsia="Arial"/>
          <w:i/>
          <w:iCs/>
        </w:rPr>
        <w:t>Circus aeruginosus</w:t>
      </w:r>
      <w:r w:rsidR="00B97DF8" w:rsidRPr="00293C68">
        <w:rPr>
          <w:rFonts w:eastAsia="Arial"/>
        </w:rPr>
        <w:t>),</w:t>
      </w:r>
      <w:r w:rsidR="00B97DF8" w:rsidRPr="00293C68">
        <w:rPr>
          <w:rFonts w:eastAsia="Times New Roman"/>
          <w:lang w:eastAsia="cs-CZ"/>
          <w14:ligatures w14:val="none"/>
        </w:rPr>
        <w:t xml:space="preserve"> </w:t>
      </w:r>
      <w:r w:rsidR="00AA4E54">
        <w:rPr>
          <w:rFonts w:eastAsia="Times New Roman"/>
          <w:lang w:eastAsia="cs-CZ"/>
          <w14:ligatures w14:val="none"/>
        </w:rPr>
        <w:t>netopýr velký (</w:t>
      </w:r>
      <w:r w:rsidR="00AA4E54" w:rsidRPr="006469F7">
        <w:rPr>
          <w:rFonts w:eastAsia="Times New Roman"/>
          <w:i/>
          <w:iCs/>
          <w:lang w:eastAsia="cs-CZ"/>
          <w14:ligatures w14:val="none"/>
        </w:rPr>
        <w:t>Myotis myotis</w:t>
      </w:r>
      <w:r w:rsidR="00AA4E54">
        <w:rPr>
          <w:rFonts w:eastAsia="Times New Roman"/>
          <w:lang w:eastAsia="cs-CZ"/>
          <w14:ligatures w14:val="none"/>
        </w:rPr>
        <w:t xml:space="preserve">), </w:t>
      </w:r>
      <w:r w:rsidR="00B97DF8" w:rsidRPr="00293C68">
        <w:rPr>
          <w:rFonts w:eastAsia="Times New Roman"/>
          <w:lang w:eastAsia="cs-CZ"/>
          <w14:ligatures w14:val="none"/>
        </w:rPr>
        <w:t>jejichž výskyt byl v zájmovém území prokázán.</w:t>
      </w:r>
      <w:r w:rsidR="00B97DF8" w:rsidRPr="00293C68">
        <w:t xml:space="preserve"> P</w:t>
      </w:r>
      <w:r w:rsidR="0088698F">
        <w:t>odle biologického posouzení</w:t>
      </w:r>
      <w:r w:rsidR="00B97DF8" w:rsidRPr="00293C68">
        <w:t xml:space="preserve"> je u hnízdišť a potravních biotopů těchto druhů vhodné využít technických řešení k omezení rizika úrazů a mortality na vedení VN, z důvodu hnízdění na VTE nebo v důsledku kolize s lopatkami VTE. Přestože vymezení akcelerační oblasti respektovalo mapy citlivosti ptáků</w:t>
      </w:r>
      <w:r w:rsidR="540D63FB" w:rsidRPr="00293C68">
        <w:t>,</w:t>
      </w:r>
      <w:r w:rsidR="00B97DF8" w:rsidRPr="00293C68">
        <w:t xml:space="preserve"> oblasti s extrémním rizikem byly </w:t>
      </w:r>
      <w:r w:rsidR="4899A7B3" w:rsidRPr="00293C68">
        <w:t xml:space="preserve">z </w:t>
      </w:r>
      <w:r w:rsidR="3F321BD8" w:rsidRPr="00293C68">
        <w:t>návrhu</w:t>
      </w:r>
      <w:r w:rsidR="00B97DF8" w:rsidRPr="00293C68">
        <w:t xml:space="preserve"> vyloučeny</w:t>
      </w:r>
      <w:r w:rsidR="63216322" w:rsidRPr="00293C68">
        <w:t>,</w:t>
      </w:r>
      <w:r w:rsidR="733873EB" w:rsidRPr="00293C68">
        <w:t xml:space="preserve"> do oblasti vstupuje okrajově na východě a severozápadě vysoké riziko, </w:t>
      </w:r>
      <w:r w:rsidR="00B97DF8" w:rsidRPr="00293C68">
        <w:t xml:space="preserve">nebylo možné se vyhnout všem detekovaným místům výskytu citlivých, vzácných a ohrožených druhů ptáků (akcelerační oblast v severozápadní a východní části zasahuje do ploch citlivosti ptáků s vysokým rizikem). Podmínka omezení výstavby v době hnízdění (duben–červenec) je stavovena z důvodu ochrany vzácných druhů hnízdících na zemi či poblíž země: </w:t>
      </w:r>
      <w:r w:rsidR="00B97DF8" w:rsidRPr="00293C68">
        <w:rPr>
          <w:rFonts w:eastAsia="Arial"/>
        </w:rPr>
        <w:t>bělořit šedý (</w:t>
      </w:r>
      <w:r w:rsidR="00B97DF8" w:rsidRPr="00293C68">
        <w:rPr>
          <w:rFonts w:eastAsia="Arial"/>
          <w:i/>
          <w:iCs/>
        </w:rPr>
        <w:t>Oenanthe oenanthe</w:t>
      </w:r>
      <w:r w:rsidR="00B97DF8" w:rsidRPr="00293C68">
        <w:rPr>
          <w:rFonts w:eastAsia="Arial"/>
        </w:rPr>
        <w:t>),</w:t>
      </w:r>
      <w:r w:rsidR="00B97DF8" w:rsidRPr="00293C68">
        <w:t xml:space="preserve"> k</w:t>
      </w:r>
      <w:r w:rsidR="00B97DF8" w:rsidRPr="00293C68">
        <w:rPr>
          <w:rFonts w:eastAsia="Arial"/>
        </w:rPr>
        <w:t>onipas luční (</w:t>
      </w:r>
      <w:r w:rsidR="00B97DF8" w:rsidRPr="00293C68">
        <w:rPr>
          <w:rFonts w:eastAsia="Arial"/>
          <w:i/>
          <w:iCs/>
        </w:rPr>
        <w:t>Motacilla flava</w:t>
      </w:r>
      <w:r w:rsidR="00B97DF8" w:rsidRPr="00293C68">
        <w:rPr>
          <w:rFonts w:eastAsia="Arial"/>
        </w:rPr>
        <w:t xml:space="preserve">) či </w:t>
      </w:r>
      <w:r w:rsidR="00B97DF8" w:rsidRPr="00293C68">
        <w:t>linduška úhorní (</w:t>
      </w:r>
      <w:r w:rsidR="00B97DF8" w:rsidRPr="00293C68">
        <w:rPr>
          <w:i/>
          <w:iCs/>
        </w:rPr>
        <w:t>Anthus campestris</w:t>
      </w:r>
      <w:r w:rsidR="00B97DF8" w:rsidRPr="00293C68">
        <w:t>).</w:t>
      </w:r>
      <w:bookmarkStart w:id="5" w:name="_Hlk214039545"/>
    </w:p>
    <w:bookmarkEnd w:id="5"/>
    <w:p w14:paraId="0B31A968" w14:textId="414FE2EF" w:rsidR="006A7C01" w:rsidRPr="00293C68" w:rsidRDefault="006A7C01" w:rsidP="00A04ECB">
      <w:pPr>
        <w:spacing w:after="120" w:line="276" w:lineRule="auto"/>
        <w:jc w:val="both"/>
        <w:rPr>
          <w:rFonts w:ascii="Arial" w:hAnsi="Arial" w:cs="Arial"/>
          <w:sz w:val="20"/>
          <w:szCs w:val="20"/>
        </w:rPr>
      </w:pPr>
      <w:r w:rsidRPr="00293C68">
        <w:rPr>
          <w:rFonts w:ascii="Arial" w:hAnsi="Arial" w:cs="Arial"/>
          <w:sz w:val="20"/>
          <w:szCs w:val="20"/>
        </w:rPr>
        <w:t xml:space="preserve">Podmínka v odst. 3.1 písm. d) </w:t>
      </w:r>
      <w:r w:rsidR="00FB2BA6" w:rsidRPr="00FB2BA6">
        <w:rPr>
          <w:rFonts w:ascii="Arial" w:hAnsi="Arial" w:cs="Arial"/>
          <w:sz w:val="20"/>
          <w:szCs w:val="20"/>
        </w:rPr>
        <w:t>je stanovena za účelem ochrany 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p>
    <w:p w14:paraId="608FE42E" w14:textId="0A9B4973" w:rsidR="006A7C01" w:rsidRPr="00293C68" w:rsidRDefault="008366E3" w:rsidP="00A04ECB">
      <w:pPr>
        <w:spacing w:after="120" w:line="276" w:lineRule="auto"/>
        <w:jc w:val="both"/>
        <w:rPr>
          <w:rFonts w:ascii="Arial" w:hAnsi="Arial" w:cs="Arial"/>
          <w:sz w:val="20"/>
          <w:szCs w:val="20"/>
        </w:rPr>
      </w:pPr>
      <w:r w:rsidRPr="00293C68">
        <w:rPr>
          <w:rFonts w:ascii="Arial" w:hAnsi="Arial" w:cs="Arial"/>
          <w:sz w:val="20"/>
          <w:szCs w:val="20"/>
        </w:rPr>
        <w:t xml:space="preserve">Podmínka v odst. 3.1 písm. e) je </w:t>
      </w:r>
      <w:r w:rsidR="00294A3F" w:rsidRPr="00293C68">
        <w:rPr>
          <w:rFonts w:ascii="Arial" w:hAnsi="Arial" w:cs="Arial"/>
          <w:sz w:val="20"/>
          <w:szCs w:val="20"/>
        </w:rPr>
        <w:t>stanovena za účelem ochrany zdravých životních podmínek v obytné zástavbě sídel, v jejichž sousedství se akcelerační oblast rozkládá, zejména s ohledem na možné nepříjemné světelné efekty</w:t>
      </w:r>
      <w:r w:rsidRPr="00293C68">
        <w:rPr>
          <w:rFonts w:ascii="Arial" w:hAnsi="Arial" w:cs="Arial"/>
          <w:sz w:val="20"/>
          <w:szCs w:val="20"/>
        </w:rPr>
        <w:t>.</w:t>
      </w:r>
    </w:p>
    <w:p w14:paraId="2EBCBD8A" w14:textId="5F82ACE0" w:rsidR="00404D6A" w:rsidRPr="00293C68" w:rsidRDefault="00404D6A" w:rsidP="00A04ECB">
      <w:pPr>
        <w:spacing w:after="120" w:line="276" w:lineRule="auto"/>
        <w:jc w:val="both"/>
        <w:rPr>
          <w:rFonts w:ascii="Arial" w:hAnsi="Arial" w:cs="Arial"/>
          <w:sz w:val="20"/>
          <w:szCs w:val="20"/>
        </w:rPr>
      </w:pPr>
      <w:r w:rsidRPr="00293C68">
        <w:rPr>
          <w:rFonts w:ascii="Arial" w:hAnsi="Arial" w:cs="Arial"/>
          <w:sz w:val="20"/>
          <w:szCs w:val="20"/>
        </w:rPr>
        <w:t xml:space="preserve">Podmínka v odst. 3.1 písm. f) </w:t>
      </w:r>
      <w:bookmarkStart w:id="6" w:name="_Hlk214039931"/>
      <w:r w:rsidRPr="00293C68">
        <w:rPr>
          <w:rFonts w:ascii="Arial" w:hAnsi="Arial" w:cs="Arial"/>
          <w:sz w:val="20"/>
          <w:szCs w:val="20"/>
        </w:rPr>
        <w:t>je</w:t>
      </w:r>
      <w:r w:rsidR="00294A3F" w:rsidRPr="00293C68">
        <w:rPr>
          <w:rFonts w:ascii="Arial" w:hAnsi="Arial" w:cs="Arial"/>
          <w:sz w:val="20"/>
          <w:szCs w:val="20"/>
        </w:rPr>
        <w:t xml:space="preserve"> stanovena za účelem snížení stresového působení VTE na ptáky, jedná se zejména o druhy: bělořit šedý (</w:t>
      </w:r>
      <w:r w:rsidR="00294A3F" w:rsidRPr="00136E44">
        <w:rPr>
          <w:rFonts w:ascii="Arial" w:hAnsi="Arial" w:cs="Arial"/>
          <w:i/>
          <w:iCs/>
          <w:sz w:val="20"/>
          <w:szCs w:val="20"/>
        </w:rPr>
        <w:t>Oenanthe oenanthe</w:t>
      </w:r>
      <w:r w:rsidR="00294A3F" w:rsidRPr="00293C68">
        <w:rPr>
          <w:rFonts w:ascii="Arial" w:hAnsi="Arial" w:cs="Arial"/>
          <w:sz w:val="20"/>
          <w:szCs w:val="20"/>
        </w:rPr>
        <w:t>), konipas luční (</w:t>
      </w:r>
      <w:r w:rsidR="00294A3F" w:rsidRPr="00136E44">
        <w:rPr>
          <w:rFonts w:ascii="Arial" w:hAnsi="Arial" w:cs="Arial"/>
          <w:i/>
          <w:iCs/>
          <w:sz w:val="20"/>
          <w:szCs w:val="20"/>
        </w:rPr>
        <w:t>Motacilla flava</w:t>
      </w:r>
      <w:r w:rsidR="00294A3F" w:rsidRPr="00293C68">
        <w:rPr>
          <w:rFonts w:ascii="Arial" w:hAnsi="Arial" w:cs="Arial"/>
          <w:sz w:val="20"/>
          <w:szCs w:val="20"/>
        </w:rPr>
        <w:t>), krkavec velký (</w:t>
      </w:r>
      <w:r w:rsidR="00294A3F" w:rsidRPr="00136E44">
        <w:rPr>
          <w:rFonts w:ascii="Arial" w:hAnsi="Arial" w:cs="Arial"/>
          <w:i/>
          <w:iCs/>
          <w:sz w:val="20"/>
          <w:szCs w:val="20"/>
        </w:rPr>
        <w:t>Corvus corax</w:t>
      </w:r>
      <w:r w:rsidR="00294A3F" w:rsidRPr="00293C68">
        <w:rPr>
          <w:rFonts w:ascii="Arial" w:hAnsi="Arial" w:cs="Arial"/>
          <w:sz w:val="20"/>
          <w:szCs w:val="20"/>
        </w:rPr>
        <w:t>) a linduška úhorní (</w:t>
      </w:r>
      <w:r w:rsidR="00294A3F" w:rsidRPr="00136E44">
        <w:rPr>
          <w:rFonts w:ascii="Arial" w:hAnsi="Arial" w:cs="Arial"/>
          <w:i/>
          <w:iCs/>
          <w:sz w:val="20"/>
          <w:szCs w:val="20"/>
        </w:rPr>
        <w:t>Anthus campestris</w:t>
      </w:r>
      <w:r w:rsidR="00294A3F" w:rsidRPr="00293C68">
        <w:rPr>
          <w:rFonts w:ascii="Arial" w:hAnsi="Arial" w:cs="Arial"/>
          <w:sz w:val="20"/>
          <w:szCs w:val="20"/>
        </w:rPr>
        <w:t>), jejichž výskyt byl v zájmovém území prokázán</w:t>
      </w:r>
      <w:r w:rsidRPr="00293C68">
        <w:rPr>
          <w:rFonts w:ascii="Arial" w:hAnsi="Arial" w:cs="Arial"/>
          <w:sz w:val="20"/>
          <w:szCs w:val="20"/>
        </w:rPr>
        <w:t>.</w:t>
      </w:r>
    </w:p>
    <w:p w14:paraId="6DD5DAAC" w14:textId="3AA715C4" w:rsidR="00404D6A" w:rsidRPr="00293C68" w:rsidRDefault="00404D6A" w:rsidP="00A04ECB">
      <w:pPr>
        <w:spacing w:after="120" w:line="276" w:lineRule="auto"/>
        <w:jc w:val="both"/>
        <w:rPr>
          <w:rFonts w:ascii="Arial" w:hAnsi="Arial" w:cs="Arial"/>
          <w:sz w:val="20"/>
          <w:szCs w:val="20"/>
          <w:highlight w:val="cyan"/>
        </w:rPr>
      </w:pPr>
      <w:r w:rsidRPr="00293C68">
        <w:rPr>
          <w:rFonts w:ascii="Arial" w:hAnsi="Arial" w:cs="Arial"/>
          <w:sz w:val="20"/>
          <w:szCs w:val="20"/>
        </w:rPr>
        <w:t xml:space="preserve">Podmínka v odst. 3.1 písm. g) je </w:t>
      </w:r>
      <w:r w:rsidR="00DA1751" w:rsidRPr="00293C68">
        <w:rPr>
          <w:rFonts w:ascii="Arial" w:hAnsi="Arial" w:cs="Arial"/>
          <w:sz w:val="20"/>
          <w:szCs w:val="20"/>
        </w:rPr>
        <w:t>stanovena z důvodu omezení vlivu na hmyz jako kořist konkrétních dotčených druhů ptáků a letounů</w:t>
      </w:r>
      <w:r w:rsidR="00D11123" w:rsidRPr="00293C68">
        <w:rPr>
          <w:rFonts w:ascii="Arial" w:hAnsi="Arial" w:cs="Arial"/>
          <w:sz w:val="20"/>
          <w:szCs w:val="20"/>
        </w:rPr>
        <w:t>.</w:t>
      </w:r>
    </w:p>
    <w:bookmarkEnd w:id="6"/>
    <w:p w14:paraId="70C9F8BF" w14:textId="215EA1F1" w:rsidR="00943B3A" w:rsidRDefault="00943B3A" w:rsidP="00D22A52">
      <w:pPr>
        <w:spacing w:after="120" w:line="276" w:lineRule="auto"/>
        <w:jc w:val="both"/>
        <w:rPr>
          <w:rFonts w:ascii="Arial" w:hAnsi="Arial" w:cs="Arial"/>
          <w:sz w:val="20"/>
          <w:szCs w:val="20"/>
        </w:rPr>
      </w:pPr>
      <w:r w:rsidRPr="00293C68">
        <w:rPr>
          <w:rFonts w:ascii="Arial" w:hAnsi="Arial" w:cs="Arial"/>
          <w:sz w:val="20"/>
          <w:szCs w:val="20"/>
        </w:rPr>
        <w:t xml:space="preserve">Podmínka v odst. 3.1 písm. </w:t>
      </w:r>
      <w:r w:rsidR="00D22A52" w:rsidRPr="00293C68">
        <w:rPr>
          <w:rFonts w:ascii="Arial" w:hAnsi="Arial" w:cs="Arial"/>
          <w:sz w:val="20"/>
          <w:szCs w:val="20"/>
        </w:rPr>
        <w:t>h</w:t>
      </w:r>
      <w:r w:rsidRPr="00293C68">
        <w:rPr>
          <w:rFonts w:ascii="Arial" w:hAnsi="Arial" w:cs="Arial"/>
          <w:sz w:val="20"/>
          <w:szCs w:val="20"/>
        </w:rPr>
        <w:t xml:space="preserve">) je </w:t>
      </w:r>
      <w:r w:rsidRPr="00293C68">
        <w:rPr>
          <w:rFonts w:ascii="Arial" w:eastAsia="Arial" w:hAnsi="Arial" w:cs="Arial"/>
          <w:sz w:val="20"/>
          <w:szCs w:val="20"/>
          <w:lang w:val="cs"/>
        </w:rPr>
        <w:t xml:space="preserve">stanovena </w:t>
      </w:r>
      <w:r w:rsidR="00511AE3" w:rsidRPr="00293C68">
        <w:rPr>
          <w:rFonts w:ascii="Arial" w:hAnsi="Arial" w:cs="Arial"/>
          <w:sz w:val="20"/>
          <w:szCs w:val="20"/>
        </w:rPr>
        <w:t>z důvodu přítomnosti poddolovaného</w:t>
      </w:r>
      <w:r w:rsidR="005472A5" w:rsidRPr="00293C68">
        <w:rPr>
          <w:rFonts w:ascii="Arial" w:hAnsi="Arial" w:cs="Arial"/>
          <w:sz w:val="20"/>
          <w:szCs w:val="20"/>
        </w:rPr>
        <w:t xml:space="preserve"> </w:t>
      </w:r>
      <w:r w:rsidR="00353F1C" w:rsidRPr="00117EE9">
        <w:rPr>
          <w:rFonts w:ascii="Arial" w:hAnsi="Arial" w:cs="Arial"/>
          <w:sz w:val="20"/>
          <w:szCs w:val="20"/>
        </w:rPr>
        <w:t>území</w:t>
      </w:r>
      <w:r w:rsidR="00353F1C">
        <w:rPr>
          <w:rFonts w:ascii="Arial" w:hAnsi="Arial" w:cs="Arial"/>
          <w:sz w:val="20"/>
          <w:szCs w:val="20"/>
        </w:rPr>
        <w:t>, chráněného ložiskového území, výhradního ložiska nerostných surovin</w:t>
      </w:r>
      <w:r w:rsidR="00353F1C" w:rsidRPr="00117EE9">
        <w:rPr>
          <w:rFonts w:ascii="Arial" w:hAnsi="Arial" w:cs="Arial"/>
          <w:sz w:val="20"/>
          <w:szCs w:val="20"/>
        </w:rPr>
        <w:t xml:space="preserve"> </w:t>
      </w:r>
      <w:r w:rsidR="005472A5" w:rsidRPr="00293C68">
        <w:rPr>
          <w:rFonts w:ascii="Arial" w:hAnsi="Arial" w:cs="Arial"/>
          <w:sz w:val="20"/>
          <w:szCs w:val="20"/>
        </w:rPr>
        <w:t>a sesuvného</w:t>
      </w:r>
      <w:r w:rsidR="00511AE3" w:rsidRPr="00293C68">
        <w:rPr>
          <w:rFonts w:ascii="Arial" w:hAnsi="Arial" w:cs="Arial"/>
          <w:sz w:val="20"/>
          <w:szCs w:val="20"/>
        </w:rPr>
        <w:t xml:space="preserve"> území v akcelerační oblasti, je</w:t>
      </w:r>
      <w:r w:rsidR="005472A5" w:rsidRPr="00293C68">
        <w:rPr>
          <w:rFonts w:ascii="Arial" w:hAnsi="Arial" w:cs="Arial"/>
          <w:sz w:val="20"/>
          <w:szCs w:val="20"/>
        </w:rPr>
        <w:t>jic</w:t>
      </w:r>
      <w:r w:rsidR="00511AE3" w:rsidRPr="00293C68">
        <w:rPr>
          <w:rFonts w:ascii="Arial" w:hAnsi="Arial" w:cs="Arial"/>
          <w:sz w:val="20"/>
          <w:szCs w:val="20"/>
        </w:rPr>
        <w:t>hž dopad na umístění záměrů OZE nelze na úrovni územního opatření adekvátně prověřit, a</w:t>
      </w:r>
      <w:r w:rsidR="005472A5" w:rsidRPr="00293C68">
        <w:rPr>
          <w:rFonts w:ascii="Arial" w:hAnsi="Arial" w:cs="Arial"/>
          <w:sz w:val="20"/>
          <w:szCs w:val="20"/>
        </w:rPr>
        <w:t> </w:t>
      </w:r>
      <w:r w:rsidR="00511AE3" w:rsidRPr="00293C68">
        <w:rPr>
          <w:rFonts w:ascii="Arial" w:hAnsi="Arial" w:cs="Arial"/>
          <w:sz w:val="20"/>
          <w:szCs w:val="20"/>
        </w:rPr>
        <w:t>dále je vzhledem k umístění akcelerační oblasti v dobývacím prostoru, kde nebyla dosud provedena rekultivace</w:t>
      </w:r>
      <w:r w:rsidR="00E334CB" w:rsidRPr="00293C68">
        <w:rPr>
          <w:rFonts w:ascii="Arial" w:hAnsi="Arial" w:cs="Arial"/>
          <w:sz w:val="20"/>
          <w:szCs w:val="20"/>
        </w:rPr>
        <w:t>,</w:t>
      </w:r>
      <w:r w:rsidR="00511AE3" w:rsidRPr="00293C68">
        <w:rPr>
          <w:rFonts w:ascii="Arial" w:hAnsi="Arial" w:cs="Arial"/>
          <w:sz w:val="20"/>
          <w:szCs w:val="20"/>
        </w:rPr>
        <w:t xml:space="preserve"> stanoveno, že pro rekultivaci platí výjimka, spočívající v tom, že </w:t>
      </w:r>
      <w:r w:rsidR="0012318E" w:rsidRPr="00293C68">
        <w:rPr>
          <w:rFonts w:ascii="Arial" w:hAnsi="Arial" w:cs="Arial"/>
          <w:sz w:val="20"/>
          <w:szCs w:val="20"/>
        </w:rPr>
        <w:t xml:space="preserve">způsob provedení </w:t>
      </w:r>
      <w:r w:rsidR="00511AE3" w:rsidRPr="00293C68">
        <w:rPr>
          <w:rFonts w:ascii="Arial" w:hAnsi="Arial" w:cs="Arial"/>
          <w:sz w:val="20"/>
          <w:szCs w:val="20"/>
        </w:rPr>
        <w:t>rekultivace</w:t>
      </w:r>
      <w:r w:rsidR="0012318E" w:rsidRPr="00293C68">
        <w:rPr>
          <w:rFonts w:ascii="Arial" w:hAnsi="Arial" w:cs="Arial"/>
          <w:sz w:val="20"/>
          <w:szCs w:val="20"/>
        </w:rPr>
        <w:t xml:space="preserve"> může být revidován</w:t>
      </w:r>
      <w:r w:rsidR="00E60308" w:rsidRPr="00293C68">
        <w:rPr>
          <w:rFonts w:ascii="Arial" w:hAnsi="Arial" w:cs="Arial"/>
          <w:sz w:val="20"/>
          <w:szCs w:val="20"/>
        </w:rPr>
        <w:t xml:space="preserve"> anebo</w:t>
      </w:r>
      <w:r w:rsidR="00511AE3" w:rsidRPr="00293C68">
        <w:rPr>
          <w:rFonts w:ascii="Arial" w:hAnsi="Arial" w:cs="Arial"/>
          <w:sz w:val="20"/>
          <w:szCs w:val="20"/>
        </w:rPr>
        <w:t xml:space="preserve"> </w:t>
      </w:r>
      <w:r w:rsidR="00061FF2" w:rsidRPr="00293C68">
        <w:rPr>
          <w:rFonts w:ascii="Arial" w:hAnsi="Arial" w:cs="Arial"/>
          <w:sz w:val="20"/>
          <w:szCs w:val="20"/>
        </w:rPr>
        <w:t xml:space="preserve">musí VTE </w:t>
      </w:r>
      <w:r w:rsidR="005F515D" w:rsidRPr="00293C68">
        <w:rPr>
          <w:rFonts w:ascii="Arial" w:hAnsi="Arial" w:cs="Arial"/>
          <w:sz w:val="20"/>
          <w:szCs w:val="20"/>
        </w:rPr>
        <w:t xml:space="preserve">splňovat technické </w:t>
      </w:r>
      <w:r w:rsidR="008A161E" w:rsidRPr="00293C68">
        <w:rPr>
          <w:rFonts w:ascii="Arial" w:hAnsi="Arial" w:cs="Arial"/>
          <w:sz w:val="20"/>
          <w:szCs w:val="20"/>
        </w:rPr>
        <w:t>parametry umožňující zatopení lomu.</w:t>
      </w:r>
    </w:p>
    <w:p w14:paraId="08F994E5" w14:textId="2465E519" w:rsidR="00D22A52" w:rsidRDefault="00D22A52" w:rsidP="006469F7">
      <w:pPr>
        <w:spacing w:after="120" w:line="276" w:lineRule="auto"/>
        <w:jc w:val="both"/>
        <w:rPr>
          <w:rFonts w:ascii="Arial" w:hAnsi="Arial" w:cs="Arial"/>
          <w:sz w:val="20"/>
          <w:szCs w:val="20"/>
        </w:rPr>
      </w:pPr>
      <w:r w:rsidRPr="00293C68">
        <w:rPr>
          <w:rFonts w:ascii="Arial" w:hAnsi="Arial" w:cs="Arial"/>
          <w:sz w:val="20"/>
          <w:szCs w:val="20"/>
        </w:rPr>
        <w:t xml:space="preserve">Podmínka v odst. 3.1 písm. </w:t>
      </w:r>
      <w:r w:rsidR="00353F1C">
        <w:rPr>
          <w:rFonts w:ascii="Arial" w:hAnsi="Arial" w:cs="Arial"/>
          <w:sz w:val="20"/>
          <w:szCs w:val="20"/>
        </w:rPr>
        <w:t>i</w:t>
      </w:r>
      <w:r w:rsidRPr="00293C68">
        <w:rPr>
          <w:rFonts w:ascii="Arial" w:hAnsi="Arial" w:cs="Arial"/>
          <w:sz w:val="20"/>
          <w:szCs w:val="20"/>
        </w:rPr>
        <w:t xml:space="preserve">) </w:t>
      </w:r>
      <w:bookmarkStart w:id="7" w:name="_Hlk214040006"/>
      <w:r w:rsidRPr="00293C68">
        <w:rPr>
          <w:rFonts w:ascii="Arial" w:hAnsi="Arial" w:cs="Arial"/>
          <w:sz w:val="20"/>
          <w:szCs w:val="20"/>
        </w:rPr>
        <w:t xml:space="preserve">je </w:t>
      </w:r>
      <w:bookmarkEnd w:id="7"/>
      <w:r w:rsidRPr="00293C68">
        <w:rPr>
          <w:rFonts w:ascii="Arial" w:eastAsia="Arial" w:hAnsi="Arial" w:cs="Arial"/>
          <w:sz w:val="20"/>
          <w:szCs w:val="20"/>
          <w:lang w:val="cs"/>
        </w:rPr>
        <w:t>stanovena z důvodu ochrany zvláště chráněných druhů obojživelníků: ropucha obecná (</w:t>
      </w:r>
      <w:r w:rsidRPr="00293C68">
        <w:rPr>
          <w:rFonts w:ascii="Arial" w:eastAsia="Arial" w:hAnsi="Arial" w:cs="Arial"/>
          <w:i/>
          <w:iCs/>
          <w:sz w:val="20"/>
          <w:szCs w:val="20"/>
          <w:lang w:val="cs"/>
        </w:rPr>
        <w:t>Bufo bufo</w:t>
      </w:r>
      <w:r w:rsidRPr="00293C68">
        <w:rPr>
          <w:rFonts w:ascii="Arial" w:eastAsia="Arial" w:hAnsi="Arial" w:cs="Arial"/>
          <w:sz w:val="20"/>
          <w:szCs w:val="20"/>
          <w:lang w:val="cs"/>
        </w:rPr>
        <w:t>), ropucha krátkonohá (</w:t>
      </w:r>
      <w:r w:rsidRPr="00293C68">
        <w:rPr>
          <w:rFonts w:ascii="Arial" w:eastAsia="Arial" w:hAnsi="Arial" w:cs="Arial"/>
          <w:i/>
          <w:iCs/>
          <w:sz w:val="20"/>
          <w:szCs w:val="20"/>
          <w:lang w:val="cs"/>
        </w:rPr>
        <w:t>Epidalea calamita</w:t>
      </w:r>
      <w:r w:rsidRPr="00293C68">
        <w:rPr>
          <w:rFonts w:ascii="Arial" w:eastAsia="Arial" w:hAnsi="Arial" w:cs="Arial"/>
          <w:sz w:val="20"/>
          <w:szCs w:val="20"/>
          <w:lang w:val="cs"/>
        </w:rPr>
        <w:t>) a ropucha zelená (</w:t>
      </w:r>
      <w:r w:rsidRPr="00293C68">
        <w:rPr>
          <w:rFonts w:ascii="Arial" w:eastAsia="Arial" w:hAnsi="Arial" w:cs="Arial"/>
          <w:i/>
          <w:iCs/>
          <w:sz w:val="20"/>
          <w:szCs w:val="20"/>
          <w:lang w:val="cs"/>
        </w:rPr>
        <w:t>Bufotes viridis</w:t>
      </w:r>
      <w:r w:rsidRPr="00293C68">
        <w:rPr>
          <w:rFonts w:ascii="Arial" w:eastAsia="Arial" w:hAnsi="Arial" w:cs="Arial"/>
          <w:sz w:val="20"/>
          <w:szCs w:val="20"/>
          <w:lang w:val="cs"/>
        </w:rPr>
        <w:t>), kteří obývají maloplošné mělké tůně na území AO. Manipulaci se zvláště chráněnými živočichy musí provádět odborně způsobilá osoba disponující odpovídajícími znalostmi a technickým vybavením</w:t>
      </w:r>
      <w:r w:rsidRPr="00293C68">
        <w:rPr>
          <w:rFonts w:ascii="Arial" w:hAnsi="Arial" w:cs="Arial"/>
          <w:sz w:val="20"/>
          <w:szCs w:val="20"/>
        </w:rPr>
        <w:t>.</w:t>
      </w:r>
    </w:p>
    <w:p w14:paraId="0C7C70F6" w14:textId="4BB3AFBB" w:rsidR="00313FD8" w:rsidRPr="006469F7" w:rsidRDefault="00313FD8" w:rsidP="006469F7">
      <w:pPr>
        <w:spacing w:after="120" w:line="276" w:lineRule="auto"/>
        <w:jc w:val="both"/>
        <w:rPr>
          <w:rFonts w:ascii="Arial" w:hAnsi="Arial" w:cs="Arial"/>
          <w:sz w:val="20"/>
          <w:szCs w:val="20"/>
        </w:rPr>
      </w:pPr>
      <w:r w:rsidRPr="006469F7">
        <w:rPr>
          <w:rFonts w:ascii="Arial" w:hAnsi="Arial" w:cs="Arial"/>
          <w:sz w:val="20"/>
          <w:szCs w:val="20"/>
        </w:rPr>
        <w:t>Podmínka v odst. 3.1 j) je stanovena s ohledem na zvýšenou ochranu půd s I. a II. třídou ochrany a 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 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31D9A6E0" w14:textId="30C1C6BA" w:rsidR="00AA4E54" w:rsidRDefault="00AA4E54" w:rsidP="00AA4E54">
      <w:pPr>
        <w:pStyle w:val="Zkladntext"/>
        <w:spacing w:after="120" w:line="276" w:lineRule="auto"/>
        <w:jc w:val="both"/>
      </w:pPr>
      <w:r>
        <w:t xml:space="preserve">Podmínka v odst. 3.1 </w:t>
      </w:r>
      <w:r w:rsidR="00313FD8">
        <w:t>k</w:t>
      </w:r>
      <w:r>
        <w:t xml:space="preserve">)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více rozšířené či mobilní druhy) minimalizovány. Stejně tak (v návaznosti na podmínky stanovené v odst. 3.1 písm. </w:t>
      </w:r>
      <w:r w:rsidR="00F145C7">
        <w:t>b</w:t>
      </w:r>
      <w:r>
        <w:t xml:space="preserve">) upřesní lokalizaci a způsob provádění záměru ve vztahu k mokřadním a </w:t>
      </w:r>
      <w:r w:rsidR="009C5FCC">
        <w:t>dalším vodou ovlivněným stanovištím.</w:t>
      </w:r>
      <w:r>
        <w:t>. V lesních porostech může umístění usměrnit mimo extrémní stanoviště, na nichž silně exponovaná poloha (hřebeny, vrcholy, příkré svahy) a nepříznivé půdní či</w:t>
      </w:r>
      <w:r w:rsidR="00F145C7">
        <w:t> </w:t>
      </w:r>
      <w:r>
        <w:t xml:space="preserve">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w:t>
      </w:r>
      <w:r w:rsidRPr="00F76B4B">
        <w:t>edafickými kategoriemi L, U, V, O, P, Q, G, T a R</w:t>
      </w:r>
      <w:r>
        <w:t>.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0691C0C0" w14:textId="395D5153" w:rsidR="00AA4E54" w:rsidRPr="00293C68" w:rsidRDefault="00AA4E54" w:rsidP="006469F7">
      <w:pPr>
        <w:pStyle w:val="Zkladntext"/>
        <w:spacing w:after="240" w:line="276" w:lineRule="auto"/>
        <w:jc w:val="both"/>
      </w:pPr>
      <w:r>
        <w:t xml:space="preserve">Podmínka v odst. 3.1 písm. </w:t>
      </w:r>
      <w:r w:rsidR="00313FD8">
        <w:t>l</w:t>
      </w:r>
      <w:r>
        <w:t>)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73A3CD57" w14:textId="7A29637A" w:rsidR="00123034" w:rsidRPr="00293C68" w:rsidRDefault="0800AE7A" w:rsidP="006469F7">
      <w:pPr>
        <w:pStyle w:val="Zkladntext"/>
        <w:spacing w:after="120" w:line="276" w:lineRule="auto"/>
        <w:jc w:val="both"/>
      </w:pPr>
      <w:r w:rsidRPr="00293C68">
        <w:t xml:space="preserve">Podmínka v odst. 3.2 písm. a) je stanovena za účelem obecné ochrany ptáků </w:t>
      </w:r>
      <w:r w:rsidR="00F61349">
        <w:t xml:space="preserve">a netopýrů </w:t>
      </w:r>
      <w:r w:rsidRPr="00293C68">
        <w:t>a ochrany konkrétních evidovaných druhů, např. krkavec velký (</w:t>
      </w:r>
      <w:r w:rsidRPr="00293C68">
        <w:rPr>
          <w:i/>
          <w:iCs/>
        </w:rPr>
        <w:t>Corvus corax</w:t>
      </w:r>
      <w:r w:rsidRPr="00293C68">
        <w:t>), luňák červený (</w:t>
      </w:r>
      <w:r w:rsidRPr="00293C68">
        <w:rPr>
          <w:i/>
          <w:iCs/>
        </w:rPr>
        <w:t>Milvus milvus</w:t>
      </w:r>
      <w:r w:rsidRPr="00293C68">
        <w:t xml:space="preserve">), </w:t>
      </w:r>
      <w:r w:rsidRPr="00293C68">
        <w:rPr>
          <w:rFonts w:eastAsia="Arial"/>
        </w:rPr>
        <w:t>moták pilich (</w:t>
      </w:r>
      <w:r w:rsidRPr="00293C68">
        <w:rPr>
          <w:rFonts w:eastAsia="Arial"/>
          <w:i/>
          <w:iCs/>
        </w:rPr>
        <w:t>Circus cyaneus</w:t>
      </w:r>
      <w:r w:rsidRPr="00293C68">
        <w:rPr>
          <w:rFonts w:eastAsia="Arial"/>
        </w:rPr>
        <w:t>)</w:t>
      </w:r>
      <w:r w:rsidR="00F61349">
        <w:rPr>
          <w:rFonts w:eastAsia="Arial"/>
        </w:rPr>
        <w:t>,</w:t>
      </w:r>
      <w:r w:rsidRPr="00293C68">
        <w:rPr>
          <w:rFonts w:eastAsia="Arial"/>
        </w:rPr>
        <w:t xml:space="preserve"> moták pochop (</w:t>
      </w:r>
      <w:r w:rsidRPr="00293C68">
        <w:rPr>
          <w:rFonts w:eastAsia="Arial"/>
          <w:i/>
          <w:iCs/>
        </w:rPr>
        <w:t>Circus aeruginosus</w:t>
      </w:r>
      <w:r w:rsidRPr="00293C68">
        <w:rPr>
          <w:rFonts w:eastAsia="Arial"/>
        </w:rPr>
        <w:t>)</w:t>
      </w:r>
      <w:r w:rsidR="00F61349">
        <w:rPr>
          <w:rFonts w:eastAsia="Arial"/>
        </w:rPr>
        <w:t xml:space="preserve"> a netopýr velký (</w:t>
      </w:r>
      <w:r w:rsidR="00F61349" w:rsidRPr="00F61349">
        <w:rPr>
          <w:rFonts w:eastAsia="Arial"/>
          <w:i/>
          <w:iCs/>
        </w:rPr>
        <w:t>Myotis myotis</w:t>
      </w:r>
      <w:r w:rsidR="00F61349">
        <w:rPr>
          <w:rFonts w:eastAsia="Arial"/>
        </w:rPr>
        <w:t>)</w:t>
      </w:r>
      <w:r w:rsidRPr="00293C68">
        <w:t>. Provoz VTE představuje určité riziko pro volně žijící ptáky. Odpuzovače, případně zařízení pro identifikaci ptáků a následné zpomalení rotoru VTE mají schopnost výrazně snižovat mortalitu a zároveň umožnit výstavbu VTE i v oblastech se zvýšeným výskytem citlivých druhů. Přestože vymezení akcelerační oblasti respektovalo mapy citlivosti ptáků</w:t>
      </w:r>
      <w:r w:rsidR="77EEC733" w:rsidRPr="00293C68">
        <w:t xml:space="preserve">, </w:t>
      </w:r>
      <w:r w:rsidRPr="00293C68">
        <w:t>oblasti s extrémní citlivostí byly z návrhu vyloučeny</w:t>
      </w:r>
      <w:r w:rsidR="168093C5" w:rsidRPr="00293C68">
        <w:t>,</w:t>
      </w:r>
      <w:r w:rsidR="41A0F8A0" w:rsidRPr="00293C68">
        <w:t xml:space="preserve"> do oblasti vstupuje okrajově na východě a</w:t>
      </w:r>
      <w:r w:rsidR="00045082">
        <w:t> </w:t>
      </w:r>
      <w:r w:rsidR="41A0F8A0" w:rsidRPr="00293C68">
        <w:t xml:space="preserve">severozápadě vysoké riziko, </w:t>
      </w:r>
      <w:r w:rsidRPr="00293C68">
        <w:t>nebylo možné se vyhnout všem detekovaným místům výskytu citlivých, vzácných a ohrožených druhů ptáků, bez zásadní redukce rozlohy, při které by byla akcelerační oblast zcela zrušena (nenaplnila by rozsah 2,5 km</w:t>
      </w:r>
      <w:r w:rsidRPr="00293C68">
        <w:rPr>
          <w:vertAlign w:val="superscript"/>
        </w:rPr>
        <w:t>2</w:t>
      </w:r>
      <w:r w:rsidRPr="00293C68">
        <w:t xml:space="preserve"> dle zadání Změny č. 2 ÚRP).</w:t>
      </w:r>
    </w:p>
    <w:p w14:paraId="4AF9D383" w14:textId="742D9A1C" w:rsidR="00123034" w:rsidRPr="00293C68" w:rsidRDefault="00123034" w:rsidP="006469F7">
      <w:pPr>
        <w:pStyle w:val="Zkladntext"/>
        <w:spacing w:after="120" w:line="276" w:lineRule="auto"/>
        <w:jc w:val="both"/>
      </w:pPr>
      <w:r w:rsidRPr="00293C68">
        <w:t xml:space="preserve">Podmínka v odst. 3.2 písm. </w:t>
      </w:r>
      <w:r w:rsidR="00F678C4" w:rsidRPr="00293C68">
        <w:t>b</w:t>
      </w:r>
      <w:r w:rsidRPr="00293C68">
        <w:t>)</w:t>
      </w:r>
      <w:r w:rsidR="00053CB5" w:rsidRPr="00293C68">
        <w:t xml:space="preserve">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zavedení VTE do provozu díky nastaveným zmírňujícím opatřením.</w:t>
      </w:r>
    </w:p>
    <w:p w14:paraId="28724869" w14:textId="2C5E9E15" w:rsidR="00053CB5" w:rsidRPr="00293C68" w:rsidRDefault="0800AE7A" w:rsidP="006469F7">
      <w:pPr>
        <w:pStyle w:val="Zkladntext"/>
        <w:spacing w:after="240" w:line="276" w:lineRule="auto"/>
        <w:jc w:val="both"/>
      </w:pPr>
      <w:r w:rsidRPr="00293C68">
        <w:t>Podmínka v odst. 3.2 písm. c)</w:t>
      </w:r>
      <w:bookmarkStart w:id="8" w:name="_Hlk214041370"/>
      <w:r w:rsidRPr="00293C68">
        <w:t xml:space="preserve"> je stanovena z důvodu ochrany citlivých druhů letounů vůči VTE v ČR netopýra velkého (</w:t>
      </w:r>
      <w:r w:rsidRPr="00293C68">
        <w:rPr>
          <w:i/>
          <w:iCs/>
        </w:rPr>
        <w:t>Myotis myotis</w:t>
      </w:r>
      <w:r w:rsidRPr="00293C68">
        <w:t>), netopýra hvízdavého (</w:t>
      </w:r>
      <w:r w:rsidRPr="00293C68">
        <w:rPr>
          <w:i/>
          <w:iCs/>
        </w:rPr>
        <w:t>Pipistrellus pipistrellus</w:t>
      </w:r>
      <w:r w:rsidRPr="00293C68">
        <w:t>), netopýra nejmenšího (</w:t>
      </w:r>
      <w:r w:rsidRPr="00293C68">
        <w:rPr>
          <w:i/>
          <w:iCs/>
        </w:rPr>
        <w:t>Pipistrellus pygmaeus</w:t>
      </w:r>
      <w:r w:rsidRPr="00293C68">
        <w:t>), netopýra rezavého (</w:t>
      </w:r>
      <w:r w:rsidRPr="00293C68">
        <w:rPr>
          <w:i/>
          <w:iCs/>
        </w:rPr>
        <w:t>Nyctalus noctula</w:t>
      </w:r>
      <w:r w:rsidRPr="00293C68">
        <w:t>) a netopýra vousatého (</w:t>
      </w:r>
      <w:r w:rsidRPr="00293C68">
        <w:rPr>
          <w:i/>
          <w:iCs/>
        </w:rPr>
        <w:t>Myotis mystacinus</w:t>
      </w:r>
      <w:r w:rsidRPr="00293C68">
        <w:t>).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letounů v době po zavedení VTE do provozu.</w:t>
      </w:r>
    </w:p>
    <w:p w14:paraId="0585DF02" w14:textId="3969B15F" w:rsidR="00053CB5" w:rsidRPr="00293C68" w:rsidRDefault="00A16585" w:rsidP="00FB58E8">
      <w:pPr>
        <w:pStyle w:val="Zkladntext"/>
        <w:keepNext/>
        <w:spacing w:after="0" w:line="276" w:lineRule="auto"/>
        <w:jc w:val="both"/>
      </w:pPr>
      <w:r w:rsidRPr="00293C68">
        <w:rPr>
          <w:noProof/>
        </w:rPr>
        <w:drawing>
          <wp:inline distT="0" distB="0" distL="0" distR="0" wp14:anchorId="52FF1A8B" wp14:editId="48DB4483">
            <wp:extent cx="5791200" cy="4160969"/>
            <wp:effectExtent l="0" t="0" r="0" b="0"/>
            <wp:docPr id="5562660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26606" name=""/>
                    <pic:cNvPicPr/>
                  </pic:nvPicPr>
                  <pic:blipFill rotWithShape="1">
                    <a:blip r:embed="rId9"/>
                    <a:srcRect l="31746" t="25259" r="27138" b="27072"/>
                    <a:stretch>
                      <a:fillRect/>
                    </a:stretch>
                  </pic:blipFill>
                  <pic:spPr bwMode="auto">
                    <a:xfrm>
                      <a:off x="0" y="0"/>
                      <a:ext cx="5806003" cy="4171605"/>
                    </a:xfrm>
                    <a:prstGeom prst="rect">
                      <a:avLst/>
                    </a:prstGeom>
                    <a:ln>
                      <a:noFill/>
                    </a:ln>
                    <a:extLst>
                      <a:ext uri="{53640926-AAD7-44D8-BBD7-CCE9431645EC}">
                        <a14:shadowObscured xmlns:a14="http://schemas.microsoft.com/office/drawing/2010/main"/>
                      </a:ext>
                    </a:extLst>
                  </pic:spPr>
                </pic:pic>
              </a:graphicData>
            </a:graphic>
          </wp:inline>
        </w:drawing>
      </w:r>
    </w:p>
    <w:p w14:paraId="29DF823A" w14:textId="0DBBDDF8" w:rsidR="00BC2387" w:rsidRPr="00FB58E8" w:rsidRDefault="00BC2387" w:rsidP="00A04ECB">
      <w:pPr>
        <w:pStyle w:val="Titulek"/>
        <w:spacing w:line="276" w:lineRule="auto"/>
        <w:jc w:val="both"/>
        <w:rPr>
          <w:rFonts w:asciiTheme="minorHAnsi" w:hAnsiTheme="minorHAnsi" w:cstheme="minorHAnsi"/>
          <w:color w:val="auto"/>
          <w:sz w:val="20"/>
          <w:szCs w:val="20"/>
        </w:rPr>
      </w:pPr>
      <w:bookmarkStart w:id="9" w:name="_Hlk219196068"/>
      <w:bookmarkEnd w:id="8"/>
      <w:r w:rsidRPr="00FB58E8">
        <w:rPr>
          <w:rFonts w:asciiTheme="minorHAnsi" w:hAnsiTheme="minorHAnsi" w:cstheme="minorHAnsi"/>
          <w:color w:val="auto"/>
        </w:rPr>
        <w:t xml:space="preserve">Obr. č. </w:t>
      </w:r>
      <w:r w:rsidRPr="00FB58E8">
        <w:rPr>
          <w:rFonts w:asciiTheme="minorHAnsi" w:hAnsiTheme="minorHAnsi" w:cstheme="minorHAnsi"/>
          <w:color w:val="auto"/>
        </w:rPr>
        <w:fldChar w:fldCharType="begin"/>
      </w:r>
      <w:r w:rsidRPr="00FB58E8">
        <w:rPr>
          <w:rFonts w:asciiTheme="minorHAnsi" w:hAnsiTheme="minorHAnsi" w:cstheme="minorHAnsi"/>
          <w:color w:val="auto"/>
        </w:rPr>
        <w:instrText>SEQ Obrázek \* ARABIC</w:instrText>
      </w:r>
      <w:r w:rsidRPr="00FB58E8">
        <w:rPr>
          <w:rFonts w:asciiTheme="minorHAnsi" w:hAnsiTheme="minorHAnsi" w:cstheme="minorHAnsi"/>
          <w:color w:val="auto"/>
        </w:rPr>
        <w:fldChar w:fldCharType="separate"/>
      </w:r>
      <w:r w:rsidR="00045082" w:rsidRPr="00FB58E8">
        <w:rPr>
          <w:rFonts w:asciiTheme="minorHAnsi" w:hAnsiTheme="minorHAnsi" w:cstheme="minorHAnsi"/>
          <w:noProof/>
          <w:color w:val="auto"/>
        </w:rPr>
        <w:t>1</w:t>
      </w:r>
      <w:r w:rsidRPr="00FB58E8">
        <w:rPr>
          <w:rFonts w:asciiTheme="minorHAnsi" w:hAnsiTheme="minorHAnsi" w:cstheme="minorHAnsi"/>
          <w:color w:val="auto"/>
        </w:rPr>
        <w:fldChar w:fldCharType="end"/>
      </w:r>
      <w:r w:rsidRPr="00FB58E8">
        <w:rPr>
          <w:rFonts w:asciiTheme="minorHAnsi" w:hAnsiTheme="minorHAnsi" w:cstheme="minorHAnsi"/>
          <w:color w:val="auto"/>
        </w:rPr>
        <w:t xml:space="preserve"> </w:t>
      </w:r>
      <w:r w:rsidR="0000624A" w:rsidRPr="00FB58E8">
        <w:rPr>
          <w:rFonts w:asciiTheme="minorHAnsi" w:hAnsiTheme="minorHAnsi" w:cstheme="minorHAnsi"/>
          <w:color w:val="auto"/>
        </w:rPr>
        <w:t>–</w:t>
      </w:r>
      <w:r w:rsidRPr="00FB58E8">
        <w:rPr>
          <w:rFonts w:asciiTheme="minorHAnsi" w:hAnsiTheme="minorHAnsi" w:cstheme="minorHAnsi"/>
          <w:color w:val="auto"/>
        </w:rPr>
        <w:t xml:space="preserve"> </w:t>
      </w:r>
      <w:r w:rsidR="0000624A" w:rsidRPr="00FB58E8">
        <w:rPr>
          <w:rFonts w:asciiTheme="minorHAnsi" w:hAnsiTheme="minorHAnsi" w:cstheme="minorHAnsi"/>
          <w:color w:val="auto"/>
        </w:rPr>
        <w:t xml:space="preserve">informativní zobrazení vymezení akcelerační oblasti v rámci území, pro které bylo zpracováno biologické posouzení </w:t>
      </w:r>
    </w:p>
    <w:bookmarkEnd w:id="9"/>
    <w:p w14:paraId="4BD6E35D" w14:textId="77777777" w:rsidR="00F8164A" w:rsidRPr="00610599" w:rsidRDefault="00F8164A" w:rsidP="00F8164A">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293C68" w:rsidRDefault="009A75CC" w:rsidP="00A04ECB">
      <w:pPr>
        <w:pStyle w:val="Zkladntext"/>
        <w:spacing w:line="276" w:lineRule="auto"/>
        <w:jc w:val="both"/>
      </w:pPr>
      <w:r w:rsidRPr="00293C68">
        <w:t xml:space="preserve">Územní opatření se vydává na dobu neurčitou. </w:t>
      </w:r>
      <w:r w:rsidR="00171FFE" w:rsidRPr="00293C68">
        <w:t xml:space="preserve">Dostatečnost podmínek uvedených v územním opatření </w:t>
      </w:r>
      <w:r w:rsidRPr="00293C68">
        <w:t>bude prověřován</w:t>
      </w:r>
      <w:r w:rsidR="00171FFE" w:rsidRPr="00293C68">
        <w:t>a</w:t>
      </w:r>
      <w:r w:rsidRPr="00293C68">
        <w:t xml:space="preserve"> v rámci zprávy o</w:t>
      </w:r>
      <w:r w:rsidR="009B2B2A" w:rsidRPr="00293C68">
        <w:t> </w:t>
      </w:r>
      <w:r w:rsidRPr="00293C68">
        <w:t>uplatňování územně plánovací dokumentace.</w:t>
      </w:r>
      <w:r w:rsidR="009B2B2A" w:rsidRPr="00293C68">
        <w:t xml:space="preserve"> Územní opatření pozbude účinnosti dnem vydání nové územně plánovací dokumentace nebo zrušením vymezení akcelerační oblasti, pro jejíž území bylo vydáno.</w:t>
      </w:r>
    </w:p>
    <w:p w14:paraId="0410940D" w14:textId="3B511E12" w:rsidR="009A75CC" w:rsidRPr="00293C68" w:rsidRDefault="003258AF" w:rsidP="00A04ECB">
      <w:pPr>
        <w:pStyle w:val="Zkladntext"/>
        <w:spacing w:line="276" w:lineRule="auto"/>
        <w:jc w:val="both"/>
      </w:pPr>
      <w:r w:rsidRPr="00293C68">
        <w:t xml:space="preserve">Toto opatření obecné povahy </w:t>
      </w:r>
      <w:r w:rsidR="00475BF4" w:rsidRPr="00293C68">
        <w:t>se podle § 173 odst. 1 správního řádu oznamuje veřejnou vyhláškou a nabývá účinnosti patnáctým dnem po vyvěšení veřejné vyhlášky.</w:t>
      </w:r>
    </w:p>
    <w:p w14:paraId="6EC3E947" w14:textId="5345CFDD" w:rsidR="006D351E" w:rsidRPr="00045082" w:rsidRDefault="00807E72" w:rsidP="00045082">
      <w:pPr>
        <w:pStyle w:val="Zkladntext"/>
        <w:spacing w:line="276" w:lineRule="auto"/>
        <w:jc w:val="both"/>
      </w:pPr>
      <w:r w:rsidRPr="00293C68">
        <w:t>Podle § 173 odst. 2 správního řádu proti opatření obecné povahy nelze podat opravný prostředek. Podle § 172 odst. 2 správního řádu lze soulad opatření obecné povahy s právními předpisy posoudit v</w:t>
      </w:r>
      <w:r w:rsidR="00F678C4" w:rsidRPr="00293C68">
        <w:t> </w:t>
      </w:r>
      <w:r w:rsidRPr="00293C68">
        <w:t>přezkumném řízení, přičemž usnesení o zahájení přezkumného řízení lze vydat do 1 roku od účinnosti opatření.</w:t>
      </w:r>
    </w:p>
    <w:sectPr w:rsidR="006D351E" w:rsidRPr="00045082">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3F32AA" w14:textId="77777777" w:rsidR="007F03E1" w:rsidRDefault="007F03E1" w:rsidP="00A16585">
      <w:r>
        <w:separator/>
      </w:r>
    </w:p>
  </w:endnote>
  <w:endnote w:type="continuationSeparator" w:id="0">
    <w:p w14:paraId="6E07C082" w14:textId="77777777" w:rsidR="007F03E1" w:rsidRDefault="007F03E1" w:rsidP="00A165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5320749"/>
      <w:docPartObj>
        <w:docPartGallery w:val="Page Numbers (Bottom of Page)"/>
        <w:docPartUnique/>
      </w:docPartObj>
    </w:sdtPr>
    <w:sdtEndPr>
      <w:rPr>
        <w:rFonts w:ascii="Arial" w:hAnsi="Arial" w:cs="Arial"/>
        <w:sz w:val="20"/>
        <w:szCs w:val="20"/>
      </w:rPr>
    </w:sdtEndPr>
    <w:sdtContent>
      <w:p w14:paraId="7781EAEF" w14:textId="44BF9474" w:rsidR="00A16585" w:rsidRPr="003C0592" w:rsidRDefault="00A16585" w:rsidP="00D22879">
        <w:pPr>
          <w:pStyle w:val="Zpat"/>
          <w:jc w:val="center"/>
          <w:rPr>
            <w:rFonts w:ascii="Arial" w:hAnsi="Arial" w:cs="Arial"/>
            <w:sz w:val="20"/>
            <w:szCs w:val="20"/>
          </w:rPr>
        </w:pPr>
        <w:r w:rsidRPr="003C0592">
          <w:rPr>
            <w:rFonts w:ascii="Arial" w:hAnsi="Arial" w:cs="Arial"/>
            <w:sz w:val="20"/>
            <w:szCs w:val="20"/>
          </w:rPr>
          <w:fldChar w:fldCharType="begin"/>
        </w:r>
        <w:r w:rsidRPr="003C0592">
          <w:rPr>
            <w:rFonts w:ascii="Arial" w:hAnsi="Arial" w:cs="Arial"/>
            <w:sz w:val="20"/>
            <w:szCs w:val="20"/>
          </w:rPr>
          <w:instrText>PAGE   \* MERGEFORMAT</w:instrText>
        </w:r>
        <w:r w:rsidRPr="003C0592">
          <w:rPr>
            <w:rFonts w:ascii="Arial" w:hAnsi="Arial" w:cs="Arial"/>
            <w:sz w:val="20"/>
            <w:szCs w:val="20"/>
          </w:rPr>
          <w:fldChar w:fldCharType="separate"/>
        </w:r>
        <w:r w:rsidRPr="003C0592">
          <w:rPr>
            <w:rFonts w:ascii="Arial" w:hAnsi="Arial" w:cs="Arial"/>
            <w:sz w:val="20"/>
            <w:szCs w:val="20"/>
          </w:rPr>
          <w:t>2</w:t>
        </w:r>
        <w:r w:rsidRPr="003C0592">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7D2AA1" w14:textId="77777777" w:rsidR="007F03E1" w:rsidRDefault="007F03E1" w:rsidP="00A16585">
      <w:r>
        <w:separator/>
      </w:r>
    </w:p>
  </w:footnote>
  <w:footnote w:type="continuationSeparator" w:id="0">
    <w:p w14:paraId="3FDFDB28" w14:textId="77777777" w:rsidR="007F03E1" w:rsidRDefault="007F03E1" w:rsidP="00A165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8" w15:restartNumberingAfterBreak="0">
    <w:nsid w:val="1BE14F1E"/>
    <w:multiLevelType w:val="hybridMultilevel"/>
    <w:tmpl w:val="BC64E60E"/>
    <w:lvl w:ilvl="0" w:tplc="6DC0E240">
      <w:start w:val="1"/>
      <w:numFmt w:val="decimal"/>
      <w:lvlText w:val="%1."/>
      <w:lvlJc w:val="left"/>
      <w:pPr>
        <w:ind w:left="720" w:hanging="360"/>
      </w:pPr>
      <w:rPr>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0CD6D86"/>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5"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0"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1AE1FA2"/>
    <w:multiLevelType w:val="multilevel"/>
    <w:tmpl w:val="795C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3" w15:restartNumberingAfterBreak="0">
    <w:nsid w:val="6B7002D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6EBA3548"/>
    <w:multiLevelType w:val="hybridMultilevel"/>
    <w:tmpl w:val="9E8A9C6A"/>
    <w:lvl w:ilvl="0" w:tplc="45AC3B1C">
      <w:start w:val="1"/>
      <w:numFmt w:val="decimal"/>
      <w:lvlText w:val="3.%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6"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15161374">
    <w:abstractNumId w:val="13"/>
  </w:num>
  <w:num w:numId="2" w16cid:durableId="1790129206">
    <w:abstractNumId w:val="5"/>
  </w:num>
  <w:num w:numId="3" w16cid:durableId="1381897970">
    <w:abstractNumId w:val="19"/>
  </w:num>
  <w:num w:numId="4" w16cid:durableId="1925334634">
    <w:abstractNumId w:val="12"/>
  </w:num>
  <w:num w:numId="5" w16cid:durableId="124353530">
    <w:abstractNumId w:val="17"/>
  </w:num>
  <w:num w:numId="6" w16cid:durableId="240217676">
    <w:abstractNumId w:val="1"/>
  </w:num>
  <w:num w:numId="7" w16cid:durableId="2027824041">
    <w:abstractNumId w:val="22"/>
  </w:num>
  <w:num w:numId="8" w16cid:durableId="790054675">
    <w:abstractNumId w:val="9"/>
  </w:num>
  <w:num w:numId="9" w16cid:durableId="863132249">
    <w:abstractNumId w:val="16"/>
  </w:num>
  <w:num w:numId="10" w16cid:durableId="2145656837">
    <w:abstractNumId w:val="4"/>
  </w:num>
  <w:num w:numId="11" w16cid:durableId="678115967">
    <w:abstractNumId w:val="7"/>
  </w:num>
  <w:num w:numId="12" w16cid:durableId="257444813">
    <w:abstractNumId w:val="14"/>
  </w:num>
  <w:num w:numId="13" w16cid:durableId="1559124395">
    <w:abstractNumId w:val="25"/>
  </w:num>
  <w:num w:numId="14" w16cid:durableId="488135315">
    <w:abstractNumId w:val="3"/>
  </w:num>
  <w:num w:numId="15" w16cid:durableId="1956056202">
    <w:abstractNumId w:val="11"/>
  </w:num>
  <w:num w:numId="16" w16cid:durableId="1622571984">
    <w:abstractNumId w:val="10"/>
  </w:num>
  <w:num w:numId="17" w16cid:durableId="1499272555">
    <w:abstractNumId w:val="20"/>
  </w:num>
  <w:num w:numId="18" w16cid:durableId="718407127">
    <w:abstractNumId w:val="2"/>
  </w:num>
  <w:num w:numId="19" w16cid:durableId="7133841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674641">
    <w:abstractNumId w:val="27"/>
  </w:num>
  <w:num w:numId="21" w16cid:durableId="1061096256">
    <w:abstractNumId w:val="18"/>
  </w:num>
  <w:num w:numId="22" w16cid:durableId="776682791">
    <w:abstractNumId w:val="15"/>
  </w:num>
  <w:num w:numId="23" w16cid:durableId="932668190">
    <w:abstractNumId w:val="6"/>
  </w:num>
  <w:num w:numId="24" w16cid:durableId="1883250191">
    <w:abstractNumId w:val="26"/>
  </w:num>
  <w:num w:numId="25" w16cid:durableId="294725365">
    <w:abstractNumId w:val="0"/>
  </w:num>
  <w:num w:numId="26" w16cid:durableId="1724282576">
    <w:abstractNumId w:val="23"/>
  </w:num>
  <w:num w:numId="27" w16cid:durableId="369494929">
    <w:abstractNumId w:val="21"/>
    <w:lvlOverride w:ilvl="0">
      <w:lvl w:ilvl="0">
        <w:numFmt w:val="lowerLetter"/>
        <w:lvlText w:val="%1."/>
        <w:lvlJc w:val="left"/>
      </w:lvl>
    </w:lvlOverride>
  </w:num>
  <w:num w:numId="28" w16cid:durableId="1002129376">
    <w:abstractNumId w:val="8"/>
  </w:num>
  <w:num w:numId="29" w16cid:durableId="52613817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624A"/>
    <w:rsid w:val="000069F1"/>
    <w:rsid w:val="000100B6"/>
    <w:rsid w:val="000140E8"/>
    <w:rsid w:val="00015084"/>
    <w:rsid w:val="000247D2"/>
    <w:rsid w:val="00025274"/>
    <w:rsid w:val="00026128"/>
    <w:rsid w:val="00027971"/>
    <w:rsid w:val="00032D23"/>
    <w:rsid w:val="00034CDD"/>
    <w:rsid w:val="0004060A"/>
    <w:rsid w:val="00040C1B"/>
    <w:rsid w:val="0004153A"/>
    <w:rsid w:val="00044D61"/>
    <w:rsid w:val="00045082"/>
    <w:rsid w:val="000462ED"/>
    <w:rsid w:val="0005394F"/>
    <w:rsid w:val="00053CB5"/>
    <w:rsid w:val="00053DC5"/>
    <w:rsid w:val="00061984"/>
    <w:rsid w:val="00061FF2"/>
    <w:rsid w:val="00065447"/>
    <w:rsid w:val="000717A3"/>
    <w:rsid w:val="00073A71"/>
    <w:rsid w:val="00074CF9"/>
    <w:rsid w:val="00076DD2"/>
    <w:rsid w:val="00080487"/>
    <w:rsid w:val="00080FAB"/>
    <w:rsid w:val="00083558"/>
    <w:rsid w:val="000838EF"/>
    <w:rsid w:val="00085B98"/>
    <w:rsid w:val="00085C25"/>
    <w:rsid w:val="000904B2"/>
    <w:rsid w:val="000905B5"/>
    <w:rsid w:val="00097A84"/>
    <w:rsid w:val="000A2355"/>
    <w:rsid w:val="000A6B81"/>
    <w:rsid w:val="000B0723"/>
    <w:rsid w:val="000B1823"/>
    <w:rsid w:val="000C3C06"/>
    <w:rsid w:val="000C4151"/>
    <w:rsid w:val="000D0C94"/>
    <w:rsid w:val="000D5DE2"/>
    <w:rsid w:val="000D77D6"/>
    <w:rsid w:val="000E2739"/>
    <w:rsid w:val="000E5931"/>
    <w:rsid w:val="000E5EA5"/>
    <w:rsid w:val="000E7964"/>
    <w:rsid w:val="000F0D8E"/>
    <w:rsid w:val="000F5EAD"/>
    <w:rsid w:val="000F6C51"/>
    <w:rsid w:val="000F7283"/>
    <w:rsid w:val="00106A16"/>
    <w:rsid w:val="0010755E"/>
    <w:rsid w:val="001109B5"/>
    <w:rsid w:val="00112A98"/>
    <w:rsid w:val="00123034"/>
    <w:rsid w:val="0012318E"/>
    <w:rsid w:val="0012493A"/>
    <w:rsid w:val="00125188"/>
    <w:rsid w:val="0013017F"/>
    <w:rsid w:val="001348F6"/>
    <w:rsid w:val="00136E44"/>
    <w:rsid w:val="001402F6"/>
    <w:rsid w:val="00140B0C"/>
    <w:rsid w:val="00145D33"/>
    <w:rsid w:val="00150AB8"/>
    <w:rsid w:val="00154B19"/>
    <w:rsid w:val="00167E30"/>
    <w:rsid w:val="00171FFE"/>
    <w:rsid w:val="00174A25"/>
    <w:rsid w:val="001768BF"/>
    <w:rsid w:val="00190E5A"/>
    <w:rsid w:val="00191012"/>
    <w:rsid w:val="001937FB"/>
    <w:rsid w:val="0019629F"/>
    <w:rsid w:val="001972CF"/>
    <w:rsid w:val="001A4EBF"/>
    <w:rsid w:val="001B0D09"/>
    <w:rsid w:val="001B1214"/>
    <w:rsid w:val="001B7AE5"/>
    <w:rsid w:val="001C4C69"/>
    <w:rsid w:val="001C4D88"/>
    <w:rsid w:val="001C7166"/>
    <w:rsid w:val="001D0BA1"/>
    <w:rsid w:val="001D5372"/>
    <w:rsid w:val="001D53D3"/>
    <w:rsid w:val="001E3033"/>
    <w:rsid w:val="001E399F"/>
    <w:rsid w:val="001E4CE6"/>
    <w:rsid w:val="001F1C13"/>
    <w:rsid w:val="002120FC"/>
    <w:rsid w:val="00212138"/>
    <w:rsid w:val="00212F17"/>
    <w:rsid w:val="00216B90"/>
    <w:rsid w:val="00216ED6"/>
    <w:rsid w:val="002320C1"/>
    <w:rsid w:val="00232AA4"/>
    <w:rsid w:val="00243EA4"/>
    <w:rsid w:val="0024404C"/>
    <w:rsid w:val="00244736"/>
    <w:rsid w:val="002447FC"/>
    <w:rsid w:val="002449AC"/>
    <w:rsid w:val="00245258"/>
    <w:rsid w:val="0024533C"/>
    <w:rsid w:val="00250701"/>
    <w:rsid w:val="002522DC"/>
    <w:rsid w:val="0025271A"/>
    <w:rsid w:val="00254492"/>
    <w:rsid w:val="00262979"/>
    <w:rsid w:val="00283D4E"/>
    <w:rsid w:val="00291E52"/>
    <w:rsid w:val="00293C68"/>
    <w:rsid w:val="00294A3F"/>
    <w:rsid w:val="00295513"/>
    <w:rsid w:val="002969DA"/>
    <w:rsid w:val="002A5707"/>
    <w:rsid w:val="002A66CD"/>
    <w:rsid w:val="002B28C0"/>
    <w:rsid w:val="002B680C"/>
    <w:rsid w:val="002B6DE6"/>
    <w:rsid w:val="002C1AB9"/>
    <w:rsid w:val="002C241D"/>
    <w:rsid w:val="002C6AF5"/>
    <w:rsid w:val="002D06A3"/>
    <w:rsid w:val="002D2D8C"/>
    <w:rsid w:val="002D2F13"/>
    <w:rsid w:val="002D4968"/>
    <w:rsid w:val="002E22EB"/>
    <w:rsid w:val="002E24F2"/>
    <w:rsid w:val="002E5A67"/>
    <w:rsid w:val="002E64D8"/>
    <w:rsid w:val="002F4477"/>
    <w:rsid w:val="002F6F14"/>
    <w:rsid w:val="002F7173"/>
    <w:rsid w:val="00300472"/>
    <w:rsid w:val="0030115F"/>
    <w:rsid w:val="00302F28"/>
    <w:rsid w:val="00307F8E"/>
    <w:rsid w:val="0031004C"/>
    <w:rsid w:val="00313FD8"/>
    <w:rsid w:val="00314B6E"/>
    <w:rsid w:val="00321EA5"/>
    <w:rsid w:val="003258AF"/>
    <w:rsid w:val="00326984"/>
    <w:rsid w:val="00331DD3"/>
    <w:rsid w:val="00334780"/>
    <w:rsid w:val="003352C4"/>
    <w:rsid w:val="0034304C"/>
    <w:rsid w:val="00345DEA"/>
    <w:rsid w:val="00353F1C"/>
    <w:rsid w:val="00355D4A"/>
    <w:rsid w:val="00362161"/>
    <w:rsid w:val="00373225"/>
    <w:rsid w:val="00374011"/>
    <w:rsid w:val="00375345"/>
    <w:rsid w:val="003767BD"/>
    <w:rsid w:val="003773CF"/>
    <w:rsid w:val="003809B2"/>
    <w:rsid w:val="00380E4E"/>
    <w:rsid w:val="00391036"/>
    <w:rsid w:val="003913F1"/>
    <w:rsid w:val="00396F87"/>
    <w:rsid w:val="003A41CC"/>
    <w:rsid w:val="003A47F7"/>
    <w:rsid w:val="003A5714"/>
    <w:rsid w:val="003A62D6"/>
    <w:rsid w:val="003B00B9"/>
    <w:rsid w:val="003B2237"/>
    <w:rsid w:val="003B3D99"/>
    <w:rsid w:val="003B763B"/>
    <w:rsid w:val="003B792A"/>
    <w:rsid w:val="003C0592"/>
    <w:rsid w:val="003C67C0"/>
    <w:rsid w:val="003E0F25"/>
    <w:rsid w:val="003E1C0A"/>
    <w:rsid w:val="003E2B9F"/>
    <w:rsid w:val="003E65EA"/>
    <w:rsid w:val="003E7E1D"/>
    <w:rsid w:val="003F3F3B"/>
    <w:rsid w:val="00401101"/>
    <w:rsid w:val="004015C4"/>
    <w:rsid w:val="0040385B"/>
    <w:rsid w:val="004047A1"/>
    <w:rsid w:val="00404D6A"/>
    <w:rsid w:val="00406D1B"/>
    <w:rsid w:val="00407335"/>
    <w:rsid w:val="00410564"/>
    <w:rsid w:val="00417E31"/>
    <w:rsid w:val="004240B6"/>
    <w:rsid w:val="00425C1C"/>
    <w:rsid w:val="004279D6"/>
    <w:rsid w:val="00432482"/>
    <w:rsid w:val="00445FC0"/>
    <w:rsid w:val="00450FC6"/>
    <w:rsid w:val="00452830"/>
    <w:rsid w:val="00460ADD"/>
    <w:rsid w:val="00465FF4"/>
    <w:rsid w:val="00471843"/>
    <w:rsid w:val="00475BF4"/>
    <w:rsid w:val="00476D40"/>
    <w:rsid w:val="00490349"/>
    <w:rsid w:val="004B1939"/>
    <w:rsid w:val="004C00F0"/>
    <w:rsid w:val="004C0CB5"/>
    <w:rsid w:val="004C7230"/>
    <w:rsid w:val="004D11C1"/>
    <w:rsid w:val="004E31DD"/>
    <w:rsid w:val="004E5D06"/>
    <w:rsid w:val="004E64EC"/>
    <w:rsid w:val="004E6C01"/>
    <w:rsid w:val="004E7831"/>
    <w:rsid w:val="005054AD"/>
    <w:rsid w:val="005074A8"/>
    <w:rsid w:val="00511AE3"/>
    <w:rsid w:val="00511F99"/>
    <w:rsid w:val="005175E1"/>
    <w:rsid w:val="0052263D"/>
    <w:rsid w:val="0052575C"/>
    <w:rsid w:val="005271D9"/>
    <w:rsid w:val="005356A5"/>
    <w:rsid w:val="00535FB7"/>
    <w:rsid w:val="005379DC"/>
    <w:rsid w:val="00541FC6"/>
    <w:rsid w:val="0054272A"/>
    <w:rsid w:val="0054579D"/>
    <w:rsid w:val="005469CB"/>
    <w:rsid w:val="005472A5"/>
    <w:rsid w:val="005472CB"/>
    <w:rsid w:val="005526EE"/>
    <w:rsid w:val="00554BA7"/>
    <w:rsid w:val="0055615C"/>
    <w:rsid w:val="0056030E"/>
    <w:rsid w:val="00561684"/>
    <w:rsid w:val="00564BC8"/>
    <w:rsid w:val="0056553A"/>
    <w:rsid w:val="00573B45"/>
    <w:rsid w:val="00580284"/>
    <w:rsid w:val="005840B4"/>
    <w:rsid w:val="00584457"/>
    <w:rsid w:val="0058462C"/>
    <w:rsid w:val="005856FB"/>
    <w:rsid w:val="005859E4"/>
    <w:rsid w:val="005960A6"/>
    <w:rsid w:val="00597539"/>
    <w:rsid w:val="005A6AF1"/>
    <w:rsid w:val="005B068F"/>
    <w:rsid w:val="005B09B5"/>
    <w:rsid w:val="005B39AF"/>
    <w:rsid w:val="005B3F09"/>
    <w:rsid w:val="005B7527"/>
    <w:rsid w:val="005C1335"/>
    <w:rsid w:val="005C160A"/>
    <w:rsid w:val="005C3C85"/>
    <w:rsid w:val="005C7120"/>
    <w:rsid w:val="005C7FA5"/>
    <w:rsid w:val="005D01C7"/>
    <w:rsid w:val="005D1DAA"/>
    <w:rsid w:val="005D40E9"/>
    <w:rsid w:val="005D4A05"/>
    <w:rsid w:val="005E2E99"/>
    <w:rsid w:val="005F247A"/>
    <w:rsid w:val="005F34E1"/>
    <w:rsid w:val="005F3836"/>
    <w:rsid w:val="005F515D"/>
    <w:rsid w:val="005F7031"/>
    <w:rsid w:val="00602A43"/>
    <w:rsid w:val="00604992"/>
    <w:rsid w:val="00605C05"/>
    <w:rsid w:val="006123DE"/>
    <w:rsid w:val="006221B7"/>
    <w:rsid w:val="00626457"/>
    <w:rsid w:val="006311CC"/>
    <w:rsid w:val="00634543"/>
    <w:rsid w:val="00642725"/>
    <w:rsid w:val="00642865"/>
    <w:rsid w:val="006469F7"/>
    <w:rsid w:val="006472B1"/>
    <w:rsid w:val="0064737D"/>
    <w:rsid w:val="0065009F"/>
    <w:rsid w:val="006513F5"/>
    <w:rsid w:val="0065194C"/>
    <w:rsid w:val="00653008"/>
    <w:rsid w:val="0066131A"/>
    <w:rsid w:val="00664196"/>
    <w:rsid w:val="00670AD9"/>
    <w:rsid w:val="00670DFB"/>
    <w:rsid w:val="0067108C"/>
    <w:rsid w:val="00672CB8"/>
    <w:rsid w:val="0067334F"/>
    <w:rsid w:val="006736AB"/>
    <w:rsid w:val="0067634C"/>
    <w:rsid w:val="0068452B"/>
    <w:rsid w:val="0068622E"/>
    <w:rsid w:val="006A27DD"/>
    <w:rsid w:val="006A3800"/>
    <w:rsid w:val="006A48B5"/>
    <w:rsid w:val="006A7C01"/>
    <w:rsid w:val="006B05FC"/>
    <w:rsid w:val="006C6EC9"/>
    <w:rsid w:val="006C7339"/>
    <w:rsid w:val="006D351E"/>
    <w:rsid w:val="006D6A22"/>
    <w:rsid w:val="006D785C"/>
    <w:rsid w:val="006E0949"/>
    <w:rsid w:val="006F13C3"/>
    <w:rsid w:val="006F3515"/>
    <w:rsid w:val="006F47AE"/>
    <w:rsid w:val="006F5916"/>
    <w:rsid w:val="006F5928"/>
    <w:rsid w:val="00712C83"/>
    <w:rsid w:val="007218A5"/>
    <w:rsid w:val="00722AB9"/>
    <w:rsid w:val="00740372"/>
    <w:rsid w:val="00744DDD"/>
    <w:rsid w:val="00746EAC"/>
    <w:rsid w:val="00747800"/>
    <w:rsid w:val="007533B7"/>
    <w:rsid w:val="00762422"/>
    <w:rsid w:val="00763244"/>
    <w:rsid w:val="007635F3"/>
    <w:rsid w:val="007736CE"/>
    <w:rsid w:val="0078751C"/>
    <w:rsid w:val="00795BA2"/>
    <w:rsid w:val="00796199"/>
    <w:rsid w:val="00797578"/>
    <w:rsid w:val="007A4E97"/>
    <w:rsid w:val="007B2941"/>
    <w:rsid w:val="007B3E83"/>
    <w:rsid w:val="007C0D80"/>
    <w:rsid w:val="007C4E6D"/>
    <w:rsid w:val="007D0769"/>
    <w:rsid w:val="007D3716"/>
    <w:rsid w:val="007D4905"/>
    <w:rsid w:val="007E1DEB"/>
    <w:rsid w:val="007E326D"/>
    <w:rsid w:val="007E46F8"/>
    <w:rsid w:val="007E4AB2"/>
    <w:rsid w:val="007F03E1"/>
    <w:rsid w:val="007F0D26"/>
    <w:rsid w:val="007F5AE2"/>
    <w:rsid w:val="00803270"/>
    <w:rsid w:val="008054AE"/>
    <w:rsid w:val="00805CBB"/>
    <w:rsid w:val="0080700F"/>
    <w:rsid w:val="00807E72"/>
    <w:rsid w:val="00813994"/>
    <w:rsid w:val="00817486"/>
    <w:rsid w:val="0082024A"/>
    <w:rsid w:val="00820CB6"/>
    <w:rsid w:val="0082283C"/>
    <w:rsid w:val="00822E27"/>
    <w:rsid w:val="0082450B"/>
    <w:rsid w:val="0082606C"/>
    <w:rsid w:val="008261A7"/>
    <w:rsid w:val="008366E3"/>
    <w:rsid w:val="008440ED"/>
    <w:rsid w:val="00844678"/>
    <w:rsid w:val="00845765"/>
    <w:rsid w:val="008457EB"/>
    <w:rsid w:val="008468FE"/>
    <w:rsid w:val="00851E3C"/>
    <w:rsid w:val="00856BFE"/>
    <w:rsid w:val="00856CF3"/>
    <w:rsid w:val="00864148"/>
    <w:rsid w:val="0086519B"/>
    <w:rsid w:val="008706D0"/>
    <w:rsid w:val="00870867"/>
    <w:rsid w:val="00877CEA"/>
    <w:rsid w:val="0088008F"/>
    <w:rsid w:val="008811CF"/>
    <w:rsid w:val="0088126B"/>
    <w:rsid w:val="0088698F"/>
    <w:rsid w:val="00886D09"/>
    <w:rsid w:val="00892880"/>
    <w:rsid w:val="00896291"/>
    <w:rsid w:val="008A161E"/>
    <w:rsid w:val="008A2EC4"/>
    <w:rsid w:val="008A305E"/>
    <w:rsid w:val="008A47BA"/>
    <w:rsid w:val="008B0311"/>
    <w:rsid w:val="008C0614"/>
    <w:rsid w:val="008C09D4"/>
    <w:rsid w:val="008C1CFE"/>
    <w:rsid w:val="008C2631"/>
    <w:rsid w:val="008C4B3A"/>
    <w:rsid w:val="008C5185"/>
    <w:rsid w:val="008D1D0B"/>
    <w:rsid w:val="008D4738"/>
    <w:rsid w:val="008D7E80"/>
    <w:rsid w:val="008E3543"/>
    <w:rsid w:val="008E6537"/>
    <w:rsid w:val="008E7BA2"/>
    <w:rsid w:val="008F3F50"/>
    <w:rsid w:val="008F7D7C"/>
    <w:rsid w:val="009008D1"/>
    <w:rsid w:val="009028DE"/>
    <w:rsid w:val="0090337A"/>
    <w:rsid w:val="00903D46"/>
    <w:rsid w:val="00906CD1"/>
    <w:rsid w:val="0091172B"/>
    <w:rsid w:val="00912575"/>
    <w:rsid w:val="00913E81"/>
    <w:rsid w:val="00914049"/>
    <w:rsid w:val="00917FD7"/>
    <w:rsid w:val="00922192"/>
    <w:rsid w:val="00924CB0"/>
    <w:rsid w:val="00926D06"/>
    <w:rsid w:val="00934B51"/>
    <w:rsid w:val="009350BD"/>
    <w:rsid w:val="0093646D"/>
    <w:rsid w:val="00940615"/>
    <w:rsid w:val="00941CC9"/>
    <w:rsid w:val="00943B3A"/>
    <w:rsid w:val="00945FE0"/>
    <w:rsid w:val="009502BF"/>
    <w:rsid w:val="00953F1E"/>
    <w:rsid w:val="00955396"/>
    <w:rsid w:val="00961973"/>
    <w:rsid w:val="0096231D"/>
    <w:rsid w:val="00964062"/>
    <w:rsid w:val="0096645B"/>
    <w:rsid w:val="00967035"/>
    <w:rsid w:val="00976A38"/>
    <w:rsid w:val="00980417"/>
    <w:rsid w:val="00981DA2"/>
    <w:rsid w:val="009828ED"/>
    <w:rsid w:val="00983CDB"/>
    <w:rsid w:val="00986567"/>
    <w:rsid w:val="00986655"/>
    <w:rsid w:val="00991287"/>
    <w:rsid w:val="00993839"/>
    <w:rsid w:val="009A1518"/>
    <w:rsid w:val="009A53BC"/>
    <w:rsid w:val="009A5FC1"/>
    <w:rsid w:val="009A75CC"/>
    <w:rsid w:val="009B2B2A"/>
    <w:rsid w:val="009B7C0D"/>
    <w:rsid w:val="009C28B2"/>
    <w:rsid w:val="009C43E7"/>
    <w:rsid w:val="009C48AD"/>
    <w:rsid w:val="009C5FCC"/>
    <w:rsid w:val="009C6C76"/>
    <w:rsid w:val="009C71A0"/>
    <w:rsid w:val="009D3410"/>
    <w:rsid w:val="009D5983"/>
    <w:rsid w:val="009F2798"/>
    <w:rsid w:val="009F31AD"/>
    <w:rsid w:val="009F776C"/>
    <w:rsid w:val="00A0086B"/>
    <w:rsid w:val="00A00F13"/>
    <w:rsid w:val="00A02431"/>
    <w:rsid w:val="00A028AF"/>
    <w:rsid w:val="00A02EE3"/>
    <w:rsid w:val="00A04ECB"/>
    <w:rsid w:val="00A0733D"/>
    <w:rsid w:val="00A10A8B"/>
    <w:rsid w:val="00A12C14"/>
    <w:rsid w:val="00A14AE1"/>
    <w:rsid w:val="00A152F9"/>
    <w:rsid w:val="00A16138"/>
    <w:rsid w:val="00A16585"/>
    <w:rsid w:val="00A16D48"/>
    <w:rsid w:val="00A171B9"/>
    <w:rsid w:val="00A21B2A"/>
    <w:rsid w:val="00A229C2"/>
    <w:rsid w:val="00A23EBF"/>
    <w:rsid w:val="00A30744"/>
    <w:rsid w:val="00A3165D"/>
    <w:rsid w:val="00A35148"/>
    <w:rsid w:val="00A37CA0"/>
    <w:rsid w:val="00A42AAE"/>
    <w:rsid w:val="00A4761D"/>
    <w:rsid w:val="00A5026B"/>
    <w:rsid w:val="00A56C6A"/>
    <w:rsid w:val="00A60D2E"/>
    <w:rsid w:val="00A66320"/>
    <w:rsid w:val="00A825F2"/>
    <w:rsid w:val="00A85DFD"/>
    <w:rsid w:val="00A87EA8"/>
    <w:rsid w:val="00A92884"/>
    <w:rsid w:val="00AA4E54"/>
    <w:rsid w:val="00AB10D9"/>
    <w:rsid w:val="00AB44EF"/>
    <w:rsid w:val="00AB744D"/>
    <w:rsid w:val="00AC3B2A"/>
    <w:rsid w:val="00AC405D"/>
    <w:rsid w:val="00AC4C61"/>
    <w:rsid w:val="00AC51C7"/>
    <w:rsid w:val="00AC6EFE"/>
    <w:rsid w:val="00AD0584"/>
    <w:rsid w:val="00AE7524"/>
    <w:rsid w:val="00AF5854"/>
    <w:rsid w:val="00AF59DE"/>
    <w:rsid w:val="00AF5CAD"/>
    <w:rsid w:val="00B029E7"/>
    <w:rsid w:val="00B03D3A"/>
    <w:rsid w:val="00B04B66"/>
    <w:rsid w:val="00B04B9D"/>
    <w:rsid w:val="00B04D9A"/>
    <w:rsid w:val="00B11794"/>
    <w:rsid w:val="00B13B98"/>
    <w:rsid w:val="00B147C0"/>
    <w:rsid w:val="00B17614"/>
    <w:rsid w:val="00B23D4D"/>
    <w:rsid w:val="00B264B9"/>
    <w:rsid w:val="00B3185A"/>
    <w:rsid w:val="00B31AF5"/>
    <w:rsid w:val="00B3230D"/>
    <w:rsid w:val="00B34A16"/>
    <w:rsid w:val="00B358E0"/>
    <w:rsid w:val="00B40B00"/>
    <w:rsid w:val="00B42B40"/>
    <w:rsid w:val="00B42CDD"/>
    <w:rsid w:val="00B42F7B"/>
    <w:rsid w:val="00B44BA9"/>
    <w:rsid w:val="00B47D43"/>
    <w:rsid w:val="00B510A7"/>
    <w:rsid w:val="00B5160E"/>
    <w:rsid w:val="00B6252B"/>
    <w:rsid w:val="00B645F9"/>
    <w:rsid w:val="00B666A1"/>
    <w:rsid w:val="00B6737C"/>
    <w:rsid w:val="00B67625"/>
    <w:rsid w:val="00B7044A"/>
    <w:rsid w:val="00B706D8"/>
    <w:rsid w:val="00B70821"/>
    <w:rsid w:val="00B71FA1"/>
    <w:rsid w:val="00B72F64"/>
    <w:rsid w:val="00B738B1"/>
    <w:rsid w:val="00B81460"/>
    <w:rsid w:val="00B85E3A"/>
    <w:rsid w:val="00B86BB9"/>
    <w:rsid w:val="00B904FC"/>
    <w:rsid w:val="00B94002"/>
    <w:rsid w:val="00B94C3F"/>
    <w:rsid w:val="00B97420"/>
    <w:rsid w:val="00B97DF8"/>
    <w:rsid w:val="00BA33D6"/>
    <w:rsid w:val="00BA457E"/>
    <w:rsid w:val="00BA685C"/>
    <w:rsid w:val="00BB039F"/>
    <w:rsid w:val="00BB11DC"/>
    <w:rsid w:val="00BB7E9D"/>
    <w:rsid w:val="00BC092E"/>
    <w:rsid w:val="00BC2387"/>
    <w:rsid w:val="00BC268F"/>
    <w:rsid w:val="00BE0F09"/>
    <w:rsid w:val="00BE17DE"/>
    <w:rsid w:val="00BE568F"/>
    <w:rsid w:val="00BE6F67"/>
    <w:rsid w:val="00BE7E55"/>
    <w:rsid w:val="00C000ED"/>
    <w:rsid w:val="00C17232"/>
    <w:rsid w:val="00C214D4"/>
    <w:rsid w:val="00C2259E"/>
    <w:rsid w:val="00C276DA"/>
    <w:rsid w:val="00C35A94"/>
    <w:rsid w:val="00C506A9"/>
    <w:rsid w:val="00C5343D"/>
    <w:rsid w:val="00C550F7"/>
    <w:rsid w:val="00C55E88"/>
    <w:rsid w:val="00C6291E"/>
    <w:rsid w:val="00C65932"/>
    <w:rsid w:val="00C70B10"/>
    <w:rsid w:val="00C74320"/>
    <w:rsid w:val="00C82BDD"/>
    <w:rsid w:val="00C84DBC"/>
    <w:rsid w:val="00C904A4"/>
    <w:rsid w:val="00C90EB8"/>
    <w:rsid w:val="00C97863"/>
    <w:rsid w:val="00CA0483"/>
    <w:rsid w:val="00CA3D90"/>
    <w:rsid w:val="00CA6F7A"/>
    <w:rsid w:val="00CB4382"/>
    <w:rsid w:val="00CB738F"/>
    <w:rsid w:val="00CC0E64"/>
    <w:rsid w:val="00CC1E90"/>
    <w:rsid w:val="00CC21AD"/>
    <w:rsid w:val="00CD35AD"/>
    <w:rsid w:val="00CD43CD"/>
    <w:rsid w:val="00CD4CAD"/>
    <w:rsid w:val="00CE10FE"/>
    <w:rsid w:val="00CE3D9A"/>
    <w:rsid w:val="00CE75FD"/>
    <w:rsid w:val="00CF4DB8"/>
    <w:rsid w:val="00CF579C"/>
    <w:rsid w:val="00D01F81"/>
    <w:rsid w:val="00D03A33"/>
    <w:rsid w:val="00D06953"/>
    <w:rsid w:val="00D06C57"/>
    <w:rsid w:val="00D06E79"/>
    <w:rsid w:val="00D11123"/>
    <w:rsid w:val="00D129E4"/>
    <w:rsid w:val="00D13C07"/>
    <w:rsid w:val="00D14285"/>
    <w:rsid w:val="00D20893"/>
    <w:rsid w:val="00D21BFA"/>
    <w:rsid w:val="00D22879"/>
    <w:rsid w:val="00D22A52"/>
    <w:rsid w:val="00D24765"/>
    <w:rsid w:val="00D271F3"/>
    <w:rsid w:val="00D27F90"/>
    <w:rsid w:val="00D303E4"/>
    <w:rsid w:val="00D40042"/>
    <w:rsid w:val="00D44FAE"/>
    <w:rsid w:val="00D5109C"/>
    <w:rsid w:val="00D53149"/>
    <w:rsid w:val="00D53ABD"/>
    <w:rsid w:val="00D645D0"/>
    <w:rsid w:val="00D67242"/>
    <w:rsid w:val="00D67E8D"/>
    <w:rsid w:val="00D70505"/>
    <w:rsid w:val="00D70DE3"/>
    <w:rsid w:val="00D7270C"/>
    <w:rsid w:val="00D75274"/>
    <w:rsid w:val="00D77AA8"/>
    <w:rsid w:val="00D81E16"/>
    <w:rsid w:val="00D906EB"/>
    <w:rsid w:val="00DA0944"/>
    <w:rsid w:val="00DA1751"/>
    <w:rsid w:val="00DA328C"/>
    <w:rsid w:val="00DA361C"/>
    <w:rsid w:val="00DA6634"/>
    <w:rsid w:val="00DC51B5"/>
    <w:rsid w:val="00DC5D00"/>
    <w:rsid w:val="00DC6284"/>
    <w:rsid w:val="00DC67B1"/>
    <w:rsid w:val="00DD01CE"/>
    <w:rsid w:val="00DD3CB5"/>
    <w:rsid w:val="00DD4EA3"/>
    <w:rsid w:val="00DD726E"/>
    <w:rsid w:val="00DE3B8E"/>
    <w:rsid w:val="00DE50CE"/>
    <w:rsid w:val="00DE61EB"/>
    <w:rsid w:val="00DE68AF"/>
    <w:rsid w:val="00DF5812"/>
    <w:rsid w:val="00DF7530"/>
    <w:rsid w:val="00DF7BD6"/>
    <w:rsid w:val="00E01C4F"/>
    <w:rsid w:val="00E04352"/>
    <w:rsid w:val="00E103A4"/>
    <w:rsid w:val="00E149C6"/>
    <w:rsid w:val="00E167C7"/>
    <w:rsid w:val="00E17C37"/>
    <w:rsid w:val="00E216DA"/>
    <w:rsid w:val="00E334CB"/>
    <w:rsid w:val="00E34E26"/>
    <w:rsid w:val="00E5042A"/>
    <w:rsid w:val="00E50578"/>
    <w:rsid w:val="00E537EB"/>
    <w:rsid w:val="00E569BB"/>
    <w:rsid w:val="00E60308"/>
    <w:rsid w:val="00E618C9"/>
    <w:rsid w:val="00E62FA2"/>
    <w:rsid w:val="00E6669A"/>
    <w:rsid w:val="00E66718"/>
    <w:rsid w:val="00E66746"/>
    <w:rsid w:val="00E66B78"/>
    <w:rsid w:val="00E66EA8"/>
    <w:rsid w:val="00E701A1"/>
    <w:rsid w:val="00E848E0"/>
    <w:rsid w:val="00E86070"/>
    <w:rsid w:val="00EA0C50"/>
    <w:rsid w:val="00EA3EF7"/>
    <w:rsid w:val="00EA598C"/>
    <w:rsid w:val="00EA7405"/>
    <w:rsid w:val="00EA756C"/>
    <w:rsid w:val="00EB7380"/>
    <w:rsid w:val="00EC5896"/>
    <w:rsid w:val="00EE323E"/>
    <w:rsid w:val="00EE5DAB"/>
    <w:rsid w:val="00EF093A"/>
    <w:rsid w:val="00EF112F"/>
    <w:rsid w:val="00EF28DF"/>
    <w:rsid w:val="00EF44F9"/>
    <w:rsid w:val="00EF7895"/>
    <w:rsid w:val="00F0236A"/>
    <w:rsid w:val="00F04065"/>
    <w:rsid w:val="00F130B6"/>
    <w:rsid w:val="00F145C7"/>
    <w:rsid w:val="00F170C0"/>
    <w:rsid w:val="00F17768"/>
    <w:rsid w:val="00F27252"/>
    <w:rsid w:val="00F301DF"/>
    <w:rsid w:val="00F41273"/>
    <w:rsid w:val="00F50F48"/>
    <w:rsid w:val="00F51BED"/>
    <w:rsid w:val="00F53E30"/>
    <w:rsid w:val="00F544BE"/>
    <w:rsid w:val="00F61349"/>
    <w:rsid w:val="00F61B25"/>
    <w:rsid w:val="00F678C4"/>
    <w:rsid w:val="00F73D7E"/>
    <w:rsid w:val="00F8164A"/>
    <w:rsid w:val="00F81F0E"/>
    <w:rsid w:val="00F83264"/>
    <w:rsid w:val="00F92048"/>
    <w:rsid w:val="00F947E3"/>
    <w:rsid w:val="00F94E19"/>
    <w:rsid w:val="00F96557"/>
    <w:rsid w:val="00F97AC0"/>
    <w:rsid w:val="00FA10B0"/>
    <w:rsid w:val="00FA23A9"/>
    <w:rsid w:val="00FA3452"/>
    <w:rsid w:val="00FB2BA6"/>
    <w:rsid w:val="00FB58E8"/>
    <w:rsid w:val="00FB7257"/>
    <w:rsid w:val="00FC76B0"/>
    <w:rsid w:val="00FD1D92"/>
    <w:rsid w:val="00FD3418"/>
    <w:rsid w:val="00FE7FA4"/>
    <w:rsid w:val="00FF74ED"/>
    <w:rsid w:val="0595FF53"/>
    <w:rsid w:val="05F5F2A7"/>
    <w:rsid w:val="0800AE7A"/>
    <w:rsid w:val="0C4B2BAE"/>
    <w:rsid w:val="0EA208B5"/>
    <w:rsid w:val="168093C5"/>
    <w:rsid w:val="185AD031"/>
    <w:rsid w:val="1942813D"/>
    <w:rsid w:val="2928F117"/>
    <w:rsid w:val="399408B5"/>
    <w:rsid w:val="3F321BD8"/>
    <w:rsid w:val="41A0F8A0"/>
    <w:rsid w:val="47733663"/>
    <w:rsid w:val="4899A7B3"/>
    <w:rsid w:val="4A9FB5DB"/>
    <w:rsid w:val="540D63FB"/>
    <w:rsid w:val="5FDA8E42"/>
    <w:rsid w:val="63116A01"/>
    <w:rsid w:val="63216322"/>
    <w:rsid w:val="694C4C18"/>
    <w:rsid w:val="6F11F38E"/>
    <w:rsid w:val="733873EB"/>
    <w:rsid w:val="77EEC733"/>
    <w:rsid w:val="788D87F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Normlnweb">
    <w:name w:val="Normal (Web)"/>
    <w:basedOn w:val="Normln"/>
    <w:uiPriority w:val="99"/>
    <w:semiHidden/>
    <w:unhideWhenUsed/>
    <w:rsid w:val="00AC3B2A"/>
    <w:pPr>
      <w:spacing w:before="100" w:beforeAutospacing="1" w:after="100" w:afterAutospacing="1"/>
    </w:pPr>
    <w:rPr>
      <w:rFonts w:ascii="Times New Roman" w:eastAsia="Times New Roman" w:hAnsi="Times New Roman" w:cs="Times New Roman"/>
      <w:sz w:val="24"/>
      <w:szCs w:val="24"/>
      <w:lang w:eastAsia="cs-CZ"/>
      <w14:ligatures w14:val="none"/>
    </w:rPr>
  </w:style>
  <w:style w:type="paragraph" w:styleId="Zhlav">
    <w:name w:val="header"/>
    <w:basedOn w:val="Normln"/>
    <w:link w:val="ZhlavChar"/>
    <w:uiPriority w:val="99"/>
    <w:unhideWhenUsed/>
    <w:rsid w:val="00A16585"/>
    <w:pPr>
      <w:tabs>
        <w:tab w:val="center" w:pos="4536"/>
        <w:tab w:val="right" w:pos="9072"/>
      </w:tabs>
    </w:pPr>
  </w:style>
  <w:style w:type="character" w:customStyle="1" w:styleId="ZhlavChar">
    <w:name w:val="Záhlaví Char"/>
    <w:basedOn w:val="Standardnpsmoodstavce"/>
    <w:link w:val="Zhlav"/>
    <w:uiPriority w:val="99"/>
    <w:rsid w:val="00A16585"/>
    <w:rPr>
      <w:rFonts w:ascii="Calibri" w:hAnsi="Calibri" w:cs="Calibri"/>
      <w:kern w:val="0"/>
    </w:rPr>
  </w:style>
  <w:style w:type="paragraph" w:styleId="Zpat">
    <w:name w:val="footer"/>
    <w:basedOn w:val="Normln"/>
    <w:link w:val="ZpatChar"/>
    <w:uiPriority w:val="99"/>
    <w:unhideWhenUsed/>
    <w:rsid w:val="00A16585"/>
    <w:pPr>
      <w:tabs>
        <w:tab w:val="center" w:pos="4536"/>
        <w:tab w:val="right" w:pos="9072"/>
      </w:tabs>
    </w:pPr>
  </w:style>
  <w:style w:type="character" w:customStyle="1" w:styleId="ZpatChar">
    <w:name w:val="Zápatí Char"/>
    <w:basedOn w:val="Standardnpsmoodstavce"/>
    <w:link w:val="Zpat"/>
    <w:uiPriority w:val="99"/>
    <w:rsid w:val="00A16585"/>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9211840">
      <w:bodyDiv w:val="1"/>
      <w:marLeft w:val="0"/>
      <w:marRight w:val="0"/>
      <w:marTop w:val="0"/>
      <w:marBottom w:val="0"/>
      <w:divBdr>
        <w:top w:val="none" w:sz="0" w:space="0" w:color="auto"/>
        <w:left w:val="none" w:sz="0" w:space="0" w:color="auto"/>
        <w:bottom w:val="none" w:sz="0" w:space="0" w:color="auto"/>
        <w:right w:val="none" w:sz="0" w:space="0" w:color="auto"/>
      </w:divBdr>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2088845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3</Pages>
  <Words>2430</Words>
  <Characters>14343</Characters>
  <Application>Microsoft Office Word</Application>
  <DocSecurity>0</DocSecurity>
  <Lines>119</Lines>
  <Paragraphs>33</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16740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84</cp:revision>
  <cp:lastPrinted>2026-04-06T14:23:00Z</cp:lastPrinted>
  <dcterms:created xsi:type="dcterms:W3CDTF">2026-03-10T10:09:00Z</dcterms:created>
  <dcterms:modified xsi:type="dcterms:W3CDTF">2026-07-20T11:55:00Z</dcterms:modified>
</cp:coreProperties>
</file>