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C7B4" w14:textId="69DFC73F" w:rsidR="00E149C6" w:rsidRDefault="00C445A8" w:rsidP="00FA21D4">
      <w:pPr>
        <w:spacing w:before="1600"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48EBB040" wp14:editId="74AC3E55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275124474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12447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54BD0F9C" w:rsidRPr="00694AB4">
        <w:rPr>
          <w:rFonts w:ascii="Arial" w:hAnsi="Arial" w:cs="Arial"/>
          <w:b/>
          <w:bCs/>
          <w:sz w:val="20"/>
          <w:szCs w:val="20"/>
        </w:rPr>
        <w:t>Opatření obecné povahy</w:t>
      </w:r>
    </w:p>
    <w:p w14:paraId="574FD83F" w14:textId="32F49889" w:rsidR="00FA21D4" w:rsidRPr="00694AB4" w:rsidRDefault="00CE40E8" w:rsidP="00D771D5">
      <w:pPr>
        <w:spacing w:before="240" w:after="240" w:line="276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00"/>
        </w:rPr>
      </w:pPr>
      <w:r w:rsidRPr="00CE40E8">
        <w:rPr>
          <w:rFonts w:ascii="Arial" w:hAnsi="Arial" w:cs="Arial"/>
          <w:b/>
          <w:bCs/>
          <w:sz w:val="20"/>
          <w:szCs w:val="20"/>
        </w:rPr>
        <w:t>pro akcelerační oblast</w:t>
      </w:r>
      <w:r w:rsidRPr="00D05929">
        <w:rPr>
          <w:rFonts w:ascii="Arial" w:hAnsi="Arial" w:cs="Arial"/>
          <w:sz w:val="20"/>
          <w:szCs w:val="20"/>
        </w:rPr>
        <w:t xml:space="preserve"> </w:t>
      </w:r>
      <w:r w:rsidRPr="00D05929">
        <w:rPr>
          <w:rFonts w:ascii="Arial" w:hAnsi="Arial" w:cs="Arial"/>
          <w:b/>
          <w:bCs/>
          <w:sz w:val="20"/>
          <w:szCs w:val="20"/>
        </w:rPr>
        <w:t>AOV65 Bítovčice</w:t>
      </w:r>
    </w:p>
    <w:p w14:paraId="062B9324" w14:textId="5B29185E" w:rsidR="00E5042A" w:rsidRPr="00694AB4" w:rsidRDefault="00C90EB8" w:rsidP="00A04ECB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694AB4">
        <w:rPr>
          <w:rFonts w:ascii="Arial" w:hAnsi="Arial" w:cs="Arial"/>
          <w:sz w:val="20"/>
          <w:szCs w:val="20"/>
        </w:rPr>
        <w:t>Vláda České republiky</w:t>
      </w:r>
      <w:r w:rsidR="00E5042A" w:rsidRPr="00694AB4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694AB4">
        <w:rPr>
          <w:rFonts w:ascii="Arial" w:hAnsi="Arial" w:cs="Arial"/>
          <w:sz w:val="20"/>
          <w:szCs w:val="20"/>
        </w:rPr>
        <w:t xml:space="preserve">zákona č. </w:t>
      </w:r>
      <w:r w:rsidRPr="00694AB4">
        <w:rPr>
          <w:rFonts w:ascii="Arial" w:hAnsi="Arial" w:cs="Arial"/>
          <w:sz w:val="20"/>
          <w:szCs w:val="20"/>
        </w:rPr>
        <w:t>249</w:t>
      </w:r>
      <w:r w:rsidR="00E5042A" w:rsidRPr="00694AB4">
        <w:rPr>
          <w:rFonts w:ascii="Arial" w:hAnsi="Arial" w:cs="Arial"/>
          <w:sz w:val="20"/>
          <w:szCs w:val="20"/>
        </w:rPr>
        <w:t>/2025 Sb., o urychlení využívání</w:t>
      </w:r>
      <w:r w:rsidR="00F0236A" w:rsidRPr="00694AB4">
        <w:rPr>
          <w:rFonts w:ascii="Arial" w:hAnsi="Arial" w:cs="Arial"/>
          <w:sz w:val="20"/>
          <w:szCs w:val="20"/>
        </w:rPr>
        <w:t xml:space="preserve"> některých</w:t>
      </w:r>
      <w:r w:rsidR="00E5042A" w:rsidRPr="00694AB4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694AB4">
        <w:rPr>
          <w:rFonts w:ascii="Arial" w:hAnsi="Arial" w:cs="Arial"/>
          <w:sz w:val="20"/>
          <w:szCs w:val="20"/>
        </w:rPr>
        <w:t>), (dále</w:t>
      </w:r>
      <w:r w:rsidR="003A47F7" w:rsidRPr="00694AB4">
        <w:rPr>
          <w:rFonts w:ascii="Arial" w:hAnsi="Arial" w:cs="Arial"/>
          <w:sz w:val="20"/>
          <w:szCs w:val="20"/>
        </w:rPr>
        <w:t xml:space="preserve"> jen</w:t>
      </w:r>
      <w:r w:rsidR="00F0236A" w:rsidRPr="00694AB4">
        <w:rPr>
          <w:rFonts w:ascii="Arial" w:hAnsi="Arial" w:cs="Arial"/>
          <w:sz w:val="20"/>
          <w:szCs w:val="20"/>
        </w:rPr>
        <w:t xml:space="preserve"> „</w:t>
      </w:r>
      <w:r w:rsidR="00E5042A" w:rsidRPr="00694AB4">
        <w:rPr>
          <w:rFonts w:ascii="Arial" w:hAnsi="Arial" w:cs="Arial"/>
          <w:sz w:val="20"/>
          <w:szCs w:val="20"/>
        </w:rPr>
        <w:t>ZOZE“</w:t>
      </w:r>
      <w:r w:rsidR="00F0236A" w:rsidRPr="00694AB4">
        <w:rPr>
          <w:rFonts w:ascii="Arial" w:hAnsi="Arial" w:cs="Arial"/>
          <w:sz w:val="20"/>
          <w:szCs w:val="20"/>
        </w:rPr>
        <w:t>)</w:t>
      </w:r>
      <w:bookmarkEnd w:id="0"/>
      <w:r w:rsidR="00E5042A" w:rsidRPr="00694AB4">
        <w:rPr>
          <w:rFonts w:ascii="Arial" w:hAnsi="Arial" w:cs="Arial"/>
          <w:sz w:val="20"/>
          <w:szCs w:val="20"/>
        </w:rPr>
        <w:t xml:space="preserve">, </w:t>
      </w:r>
    </w:p>
    <w:p w14:paraId="75B19BBA" w14:textId="77777777" w:rsidR="00E5042A" w:rsidRPr="00694AB4" w:rsidRDefault="00E5042A" w:rsidP="00A04EC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94AB4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694AB4" w:rsidRDefault="00E5042A" w:rsidP="00A04ECB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694AB4">
        <w:rPr>
          <w:rFonts w:ascii="Arial" w:hAnsi="Arial" w:cs="Arial"/>
          <w:sz w:val="20"/>
          <w:szCs w:val="20"/>
        </w:rPr>
        <w:t>podle § 6</w:t>
      </w:r>
      <w:r w:rsidR="00980417" w:rsidRPr="00694AB4">
        <w:rPr>
          <w:rFonts w:ascii="Arial" w:hAnsi="Arial" w:cs="Arial"/>
          <w:sz w:val="20"/>
          <w:szCs w:val="20"/>
        </w:rPr>
        <w:t>, § 7</w:t>
      </w:r>
      <w:r w:rsidRPr="00694AB4">
        <w:rPr>
          <w:rFonts w:ascii="Arial" w:hAnsi="Arial" w:cs="Arial"/>
          <w:sz w:val="20"/>
          <w:szCs w:val="20"/>
        </w:rPr>
        <w:t xml:space="preserve"> a </w:t>
      </w:r>
      <w:r w:rsidR="00980417" w:rsidRPr="00694AB4">
        <w:rPr>
          <w:rFonts w:ascii="Arial" w:hAnsi="Arial" w:cs="Arial"/>
          <w:sz w:val="20"/>
          <w:szCs w:val="20"/>
        </w:rPr>
        <w:t xml:space="preserve">§ 9 odst. 3 </w:t>
      </w:r>
      <w:r w:rsidRPr="00694AB4">
        <w:rPr>
          <w:rFonts w:ascii="Arial" w:hAnsi="Arial" w:cs="Arial"/>
          <w:sz w:val="20"/>
          <w:szCs w:val="20"/>
        </w:rPr>
        <w:t>ZOZE</w:t>
      </w:r>
      <w:r w:rsidR="00980417" w:rsidRPr="00694AB4">
        <w:rPr>
          <w:rFonts w:ascii="Arial" w:hAnsi="Arial" w:cs="Arial"/>
          <w:sz w:val="20"/>
          <w:szCs w:val="20"/>
        </w:rPr>
        <w:t xml:space="preserve"> v souběhu s</w:t>
      </w:r>
      <w:r w:rsidR="00C90EB8" w:rsidRPr="00694AB4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694AB4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694AB4">
        <w:rPr>
          <w:rFonts w:ascii="Arial" w:hAnsi="Arial" w:cs="Arial"/>
          <w:sz w:val="20"/>
          <w:szCs w:val="20"/>
        </w:rPr>
        <w:t xml:space="preserve"> </w:t>
      </w:r>
      <w:r w:rsidR="00CB4382" w:rsidRPr="00694AB4">
        <w:rPr>
          <w:rFonts w:ascii="Arial" w:hAnsi="Arial" w:cs="Arial"/>
          <w:sz w:val="20"/>
          <w:szCs w:val="20"/>
        </w:rPr>
        <w:t>ve spojení s</w:t>
      </w:r>
      <w:r w:rsidR="006B05FC" w:rsidRPr="00694AB4">
        <w:rPr>
          <w:rFonts w:ascii="Arial" w:hAnsi="Arial" w:cs="Arial"/>
          <w:sz w:val="20"/>
          <w:szCs w:val="20"/>
        </w:rPr>
        <w:t xml:space="preserve"> § 171 až 174 zákona č. 500/2004 Sb., správní řád, ve znění pozdějších předpisů</w:t>
      </w:r>
      <w:r w:rsidR="005C3C85" w:rsidRPr="00694AB4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694AB4" w:rsidRDefault="006B05FC" w:rsidP="00A04EC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694AB4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694AB4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694AB4" w:rsidRDefault="006B05FC" w:rsidP="00A04ECB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94AB4">
        <w:rPr>
          <w:rFonts w:ascii="Arial" w:hAnsi="Arial" w:cs="Arial"/>
          <w:sz w:val="20"/>
          <w:szCs w:val="20"/>
        </w:rPr>
        <w:t>(dále jen „územní opatření“)</w:t>
      </w:r>
      <w:r w:rsidR="005C3C85" w:rsidRPr="00694AB4">
        <w:rPr>
          <w:rFonts w:ascii="Arial" w:hAnsi="Arial" w:cs="Arial"/>
          <w:sz w:val="20"/>
          <w:szCs w:val="20"/>
        </w:rPr>
        <w:t>.</w:t>
      </w:r>
    </w:p>
    <w:p w14:paraId="5CA488E8" w14:textId="571F1076" w:rsidR="00D05929" w:rsidRPr="00D05929" w:rsidRDefault="006B05FC" w:rsidP="0056449E">
      <w:pPr>
        <w:pStyle w:val="Odstavecseseznamem"/>
        <w:numPr>
          <w:ilvl w:val="0"/>
          <w:numId w:val="25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D05929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00D05929">
        <w:rPr>
          <w:rFonts w:ascii="Arial" w:hAnsi="Arial" w:cs="Arial"/>
          <w:sz w:val="20"/>
          <w:szCs w:val="20"/>
        </w:rPr>
        <w:t xml:space="preserve">vydává </w:t>
      </w:r>
      <w:r w:rsidRPr="00D05929">
        <w:rPr>
          <w:rFonts w:ascii="Arial" w:hAnsi="Arial" w:cs="Arial"/>
          <w:sz w:val="20"/>
          <w:szCs w:val="20"/>
        </w:rPr>
        <w:t xml:space="preserve">pro </w:t>
      </w:r>
      <w:r w:rsidR="00307F8E" w:rsidRPr="00D05929">
        <w:rPr>
          <w:rFonts w:ascii="Arial" w:hAnsi="Arial" w:cs="Arial"/>
          <w:sz w:val="20"/>
          <w:szCs w:val="20"/>
        </w:rPr>
        <w:t xml:space="preserve">akcelerační </w:t>
      </w:r>
      <w:r w:rsidRPr="00D05929">
        <w:rPr>
          <w:rFonts w:ascii="Arial" w:hAnsi="Arial" w:cs="Arial"/>
          <w:sz w:val="20"/>
          <w:szCs w:val="20"/>
        </w:rPr>
        <w:t xml:space="preserve">oblast </w:t>
      </w:r>
      <w:r w:rsidR="006A27DD" w:rsidRPr="00D05929">
        <w:rPr>
          <w:rFonts w:ascii="Arial" w:hAnsi="Arial" w:cs="Arial"/>
          <w:b/>
          <w:bCs/>
          <w:sz w:val="20"/>
          <w:szCs w:val="20"/>
        </w:rPr>
        <w:t>A</w:t>
      </w:r>
      <w:r w:rsidR="005C7FA5" w:rsidRPr="00D05929">
        <w:rPr>
          <w:rFonts w:ascii="Arial" w:hAnsi="Arial" w:cs="Arial"/>
          <w:b/>
          <w:bCs/>
          <w:sz w:val="20"/>
          <w:szCs w:val="20"/>
        </w:rPr>
        <w:t>O</w:t>
      </w:r>
      <w:r w:rsidR="00B44BA9" w:rsidRPr="00D05929">
        <w:rPr>
          <w:rFonts w:ascii="Arial" w:hAnsi="Arial" w:cs="Arial"/>
          <w:b/>
          <w:bCs/>
          <w:sz w:val="20"/>
          <w:szCs w:val="20"/>
        </w:rPr>
        <w:t>V</w:t>
      </w:r>
      <w:r w:rsidR="00B81460" w:rsidRPr="00D05929">
        <w:rPr>
          <w:rFonts w:ascii="Arial" w:hAnsi="Arial" w:cs="Arial"/>
          <w:b/>
          <w:bCs/>
          <w:sz w:val="20"/>
          <w:szCs w:val="20"/>
        </w:rPr>
        <w:t>65</w:t>
      </w:r>
      <w:r w:rsidR="006A27DD" w:rsidRPr="00D05929">
        <w:rPr>
          <w:rFonts w:ascii="Arial" w:hAnsi="Arial" w:cs="Arial"/>
          <w:b/>
          <w:bCs/>
          <w:sz w:val="20"/>
          <w:szCs w:val="20"/>
        </w:rPr>
        <w:t xml:space="preserve"> </w:t>
      </w:r>
      <w:r w:rsidR="00B81460" w:rsidRPr="00D05929">
        <w:rPr>
          <w:rFonts w:ascii="Arial" w:hAnsi="Arial" w:cs="Arial"/>
          <w:b/>
          <w:bCs/>
          <w:sz w:val="20"/>
          <w:szCs w:val="20"/>
        </w:rPr>
        <w:t>Bítovčice</w:t>
      </w:r>
      <w:r w:rsidR="006A27DD" w:rsidRPr="00D05929">
        <w:rPr>
          <w:rFonts w:ascii="Arial" w:hAnsi="Arial" w:cs="Arial"/>
          <w:sz w:val="20"/>
          <w:szCs w:val="20"/>
        </w:rPr>
        <w:t xml:space="preserve"> (dále jen „akcelerační oblast“)</w:t>
      </w:r>
      <w:r w:rsidR="008E6537" w:rsidRPr="00D05929">
        <w:rPr>
          <w:rFonts w:ascii="Arial" w:hAnsi="Arial" w:cs="Arial"/>
          <w:sz w:val="20"/>
          <w:szCs w:val="20"/>
        </w:rPr>
        <w:t>, vymezen</w:t>
      </w:r>
      <w:r w:rsidR="00B03D3A" w:rsidRPr="00D05929">
        <w:rPr>
          <w:rFonts w:ascii="Arial" w:hAnsi="Arial" w:cs="Arial"/>
          <w:sz w:val="20"/>
          <w:szCs w:val="20"/>
        </w:rPr>
        <w:t>ou</w:t>
      </w:r>
      <w:r w:rsidR="008E6537" w:rsidRPr="00D05929">
        <w:rPr>
          <w:rFonts w:ascii="Arial" w:hAnsi="Arial" w:cs="Arial"/>
          <w:sz w:val="20"/>
          <w:szCs w:val="20"/>
        </w:rPr>
        <w:t xml:space="preserve"> ve </w:t>
      </w:r>
      <w:r w:rsidR="005C7FA5" w:rsidRPr="00D05929">
        <w:rPr>
          <w:rFonts w:ascii="Arial" w:hAnsi="Arial" w:cs="Arial"/>
          <w:sz w:val="20"/>
          <w:szCs w:val="20"/>
        </w:rPr>
        <w:t>Z</w:t>
      </w:r>
      <w:r w:rsidR="008E6537" w:rsidRPr="00D05929">
        <w:rPr>
          <w:rFonts w:ascii="Arial" w:hAnsi="Arial" w:cs="Arial"/>
          <w:sz w:val="20"/>
          <w:szCs w:val="20"/>
        </w:rPr>
        <w:t xml:space="preserve">měně č. 2 </w:t>
      </w:r>
      <w:r w:rsidR="005C7FA5" w:rsidRPr="00D05929">
        <w:rPr>
          <w:rFonts w:ascii="Arial" w:hAnsi="Arial" w:cs="Arial"/>
          <w:sz w:val="20"/>
          <w:szCs w:val="20"/>
        </w:rPr>
        <w:t>ú</w:t>
      </w:r>
      <w:r w:rsidR="008E6537" w:rsidRPr="00D05929">
        <w:rPr>
          <w:rFonts w:ascii="Arial" w:hAnsi="Arial" w:cs="Arial"/>
          <w:sz w:val="20"/>
          <w:szCs w:val="20"/>
        </w:rPr>
        <w:t>zemního rozvoj</w:t>
      </w:r>
      <w:r w:rsidR="005C7FA5" w:rsidRPr="00D05929">
        <w:rPr>
          <w:rFonts w:ascii="Arial" w:hAnsi="Arial" w:cs="Arial"/>
          <w:sz w:val="20"/>
          <w:szCs w:val="20"/>
        </w:rPr>
        <w:t>ového plánu</w:t>
      </w:r>
      <w:r w:rsidR="005C160A" w:rsidRPr="00D05929">
        <w:rPr>
          <w:rFonts w:ascii="Arial" w:hAnsi="Arial" w:cs="Arial"/>
          <w:sz w:val="20"/>
          <w:szCs w:val="20"/>
        </w:rPr>
        <w:t xml:space="preserve"> (dále také jen </w:t>
      </w:r>
      <w:r w:rsidR="1769B096" w:rsidRPr="00D05929">
        <w:rPr>
          <w:rFonts w:ascii="Arial" w:hAnsi="Arial" w:cs="Arial"/>
          <w:sz w:val="20"/>
          <w:szCs w:val="20"/>
        </w:rPr>
        <w:t>„ÚRP“</w:t>
      </w:r>
      <w:r w:rsidR="005C160A" w:rsidRPr="00D05929">
        <w:rPr>
          <w:rFonts w:ascii="Arial" w:hAnsi="Arial" w:cs="Arial"/>
          <w:sz w:val="20"/>
          <w:szCs w:val="20"/>
        </w:rPr>
        <w:t>)</w:t>
      </w:r>
      <w:r w:rsidR="008E6537" w:rsidRPr="00D05929">
        <w:rPr>
          <w:rFonts w:ascii="Arial" w:hAnsi="Arial" w:cs="Arial"/>
          <w:sz w:val="20"/>
          <w:szCs w:val="20"/>
        </w:rPr>
        <w:t xml:space="preserve">. </w:t>
      </w:r>
      <w:r w:rsidR="00F0236A" w:rsidRPr="00D05929">
        <w:rPr>
          <w:rFonts w:ascii="Arial" w:hAnsi="Arial" w:cs="Arial"/>
          <w:sz w:val="20"/>
          <w:szCs w:val="20"/>
        </w:rPr>
        <w:t>Akcelerační oblas</w:t>
      </w:r>
      <w:r w:rsidR="008E6537" w:rsidRPr="00D05929">
        <w:rPr>
          <w:rFonts w:ascii="Arial" w:hAnsi="Arial" w:cs="Arial"/>
          <w:sz w:val="20"/>
          <w:szCs w:val="20"/>
        </w:rPr>
        <w:t>t</w:t>
      </w:r>
      <w:r w:rsidRPr="00D05929">
        <w:rPr>
          <w:rFonts w:ascii="Arial" w:hAnsi="Arial" w:cs="Arial"/>
          <w:sz w:val="20"/>
          <w:szCs w:val="20"/>
        </w:rPr>
        <w:t xml:space="preserve"> </w:t>
      </w:r>
      <w:r w:rsidR="00F0236A" w:rsidRPr="00D05929">
        <w:rPr>
          <w:rFonts w:ascii="Arial" w:hAnsi="Arial" w:cs="Arial"/>
          <w:sz w:val="20"/>
          <w:szCs w:val="20"/>
        </w:rPr>
        <w:t xml:space="preserve">zasahuje do </w:t>
      </w:r>
      <w:r w:rsidR="00CC1E90" w:rsidRPr="00D05929">
        <w:rPr>
          <w:rFonts w:ascii="Arial" w:hAnsi="Arial" w:cs="Arial"/>
          <w:sz w:val="20"/>
          <w:szCs w:val="20"/>
        </w:rPr>
        <w:t>katastrální</w:t>
      </w:r>
      <w:r w:rsidR="00F0236A" w:rsidRPr="00D05929">
        <w:rPr>
          <w:rFonts w:ascii="Arial" w:hAnsi="Arial" w:cs="Arial"/>
          <w:sz w:val="20"/>
          <w:szCs w:val="20"/>
        </w:rPr>
        <w:t>ho</w:t>
      </w:r>
      <w:r w:rsidR="00CC1E90" w:rsidRPr="00D05929">
        <w:rPr>
          <w:rFonts w:ascii="Arial" w:hAnsi="Arial" w:cs="Arial"/>
          <w:sz w:val="20"/>
          <w:szCs w:val="20"/>
        </w:rPr>
        <w:t xml:space="preserve"> území</w:t>
      </w:r>
      <w:r w:rsidR="00CD43CD" w:rsidRPr="00D05929">
        <w:rPr>
          <w:rFonts w:ascii="Arial" w:hAnsi="Arial" w:cs="Arial"/>
          <w:sz w:val="20"/>
          <w:szCs w:val="20"/>
          <w:lang w:eastAsia="cs-CZ"/>
          <w14:ligatures w14:val="none"/>
        </w:rPr>
        <w:t xml:space="preserve"> </w:t>
      </w:r>
      <w:r w:rsidR="00410564" w:rsidRPr="00D05929">
        <w:rPr>
          <w:rFonts w:ascii="Arial" w:eastAsia="Times New Roman" w:hAnsi="Arial" w:cs="Arial"/>
          <w:sz w:val="20"/>
          <w:szCs w:val="20"/>
          <w:lang w:eastAsia="cs-CZ"/>
          <w14:ligatures w14:val="none"/>
        </w:rPr>
        <w:t>604909 Horní Bítovčice v obci Bítovčice, 662551 Kamenice u</w:t>
      </w:r>
      <w:r w:rsidR="007A2271">
        <w:rPr>
          <w:rFonts w:ascii="Arial" w:eastAsia="Times New Roman" w:hAnsi="Arial" w:cs="Arial"/>
          <w:sz w:val="20"/>
          <w:szCs w:val="20"/>
          <w:lang w:eastAsia="cs-CZ"/>
          <w14:ligatures w14:val="none"/>
        </w:rPr>
        <w:t> </w:t>
      </w:r>
      <w:r w:rsidR="00410564" w:rsidRPr="00D05929">
        <w:rPr>
          <w:rFonts w:ascii="Arial" w:eastAsia="Times New Roman" w:hAnsi="Arial" w:cs="Arial"/>
          <w:sz w:val="20"/>
          <w:szCs w:val="20"/>
          <w:lang w:eastAsia="cs-CZ"/>
          <w14:ligatures w14:val="none"/>
        </w:rPr>
        <w:t>Jihlavy v obci Kamenice, 688703 Luka nad Jihlavou v obci Luka nad Jihlavou a 788333 Vysoké Studnice</w:t>
      </w:r>
      <w:r w:rsidR="00410564" w:rsidRPr="00D05929">
        <w:rPr>
          <w:rFonts w:ascii="Arial" w:eastAsia="Times New Roman" w:hAnsi="Arial" w:cs="Arial"/>
          <w:sz w:val="20"/>
          <w:szCs w:val="20"/>
          <w:lang w:eastAsia="cs-CZ"/>
        </w:rPr>
        <w:t xml:space="preserve"> v obci Vysoké Studnice </w:t>
      </w:r>
      <w:r w:rsidR="0068622E" w:rsidRPr="00D05929">
        <w:rPr>
          <w:rFonts w:ascii="Arial" w:hAnsi="Arial" w:cs="Arial"/>
          <w:sz w:val="20"/>
          <w:szCs w:val="20"/>
        </w:rPr>
        <w:t xml:space="preserve">(správní obvod </w:t>
      </w:r>
      <w:r w:rsidR="005C160A" w:rsidRPr="00D05929">
        <w:rPr>
          <w:rFonts w:ascii="Arial" w:hAnsi="Arial" w:cs="Arial"/>
          <w:sz w:val="20"/>
          <w:szCs w:val="20"/>
        </w:rPr>
        <w:t>obce s rozšířenou působností</w:t>
      </w:r>
      <w:r w:rsidR="00F475A9">
        <w:rPr>
          <w:rFonts w:ascii="Arial" w:hAnsi="Arial" w:cs="Arial"/>
          <w:sz w:val="20"/>
          <w:szCs w:val="20"/>
        </w:rPr>
        <w:t xml:space="preserve"> </w:t>
      </w:r>
      <w:r w:rsidR="00410564" w:rsidRPr="00D05929">
        <w:rPr>
          <w:rFonts w:ascii="Arial" w:hAnsi="Arial" w:cs="Arial"/>
          <w:sz w:val="20"/>
          <w:szCs w:val="20"/>
        </w:rPr>
        <w:t>Jihlava</w:t>
      </w:r>
      <w:r w:rsidR="0068622E" w:rsidRPr="00D05929">
        <w:rPr>
          <w:rFonts w:ascii="Arial" w:hAnsi="Arial" w:cs="Arial"/>
          <w:sz w:val="20"/>
          <w:szCs w:val="20"/>
        </w:rPr>
        <w:t xml:space="preserve">) </w:t>
      </w:r>
      <w:r w:rsidR="00CC1E90" w:rsidRPr="00D05929">
        <w:rPr>
          <w:rFonts w:ascii="Arial" w:hAnsi="Arial" w:cs="Arial"/>
          <w:sz w:val="20"/>
          <w:szCs w:val="20"/>
        </w:rPr>
        <w:t xml:space="preserve">a </w:t>
      </w:r>
      <w:r w:rsidRPr="00D05929">
        <w:rPr>
          <w:rFonts w:ascii="Arial" w:hAnsi="Arial" w:cs="Arial"/>
          <w:sz w:val="20"/>
          <w:szCs w:val="20"/>
        </w:rPr>
        <w:t>je vyznačen</w:t>
      </w:r>
      <w:r w:rsidR="008E6537" w:rsidRPr="00D05929">
        <w:rPr>
          <w:rFonts w:ascii="Arial" w:hAnsi="Arial" w:cs="Arial"/>
          <w:sz w:val="20"/>
          <w:szCs w:val="20"/>
        </w:rPr>
        <w:t>a</w:t>
      </w:r>
      <w:r w:rsidRPr="00D05929">
        <w:rPr>
          <w:rFonts w:ascii="Arial" w:hAnsi="Arial" w:cs="Arial"/>
          <w:sz w:val="20"/>
          <w:szCs w:val="20"/>
        </w:rPr>
        <w:t xml:space="preserve"> ve výkresu</w:t>
      </w:r>
      <w:r w:rsidR="00712C83" w:rsidRPr="00D05929">
        <w:rPr>
          <w:rFonts w:ascii="Arial" w:hAnsi="Arial" w:cs="Arial"/>
          <w:sz w:val="20"/>
          <w:szCs w:val="20"/>
        </w:rPr>
        <w:t xml:space="preserve">, který je </w:t>
      </w:r>
      <w:r w:rsidR="0058462C" w:rsidRPr="00D05929">
        <w:rPr>
          <w:rFonts w:ascii="Arial" w:hAnsi="Arial" w:cs="Arial"/>
          <w:sz w:val="20"/>
          <w:szCs w:val="20"/>
        </w:rPr>
        <w:t xml:space="preserve">přílohou </w:t>
      </w:r>
      <w:r w:rsidR="00712C83" w:rsidRPr="00D05929">
        <w:rPr>
          <w:rFonts w:ascii="Arial" w:hAnsi="Arial" w:cs="Arial"/>
          <w:sz w:val="20"/>
          <w:szCs w:val="20"/>
        </w:rPr>
        <w:t>tohoto územního opatření</w:t>
      </w:r>
      <w:r w:rsidR="00EA7405" w:rsidRPr="00D05929">
        <w:rPr>
          <w:rFonts w:ascii="Arial" w:hAnsi="Arial" w:cs="Arial"/>
          <w:sz w:val="20"/>
          <w:szCs w:val="20"/>
        </w:rPr>
        <w:t xml:space="preserve"> a je jeho nedílnou součástí</w:t>
      </w:r>
      <w:r w:rsidR="00712C83" w:rsidRPr="00D05929">
        <w:rPr>
          <w:rFonts w:ascii="Arial" w:hAnsi="Arial" w:cs="Arial"/>
          <w:sz w:val="20"/>
          <w:szCs w:val="20"/>
        </w:rPr>
        <w:t>.</w:t>
      </w:r>
    </w:p>
    <w:p w14:paraId="06932B34" w14:textId="77777777" w:rsidR="00D05929" w:rsidRDefault="003A5714" w:rsidP="00F147CB">
      <w:pPr>
        <w:pStyle w:val="Odstavecseseznamem"/>
        <w:numPr>
          <w:ilvl w:val="0"/>
          <w:numId w:val="25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D05929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D05929">
        <w:rPr>
          <w:rFonts w:ascii="Arial" w:hAnsi="Arial" w:cs="Arial"/>
          <w:sz w:val="20"/>
          <w:szCs w:val="20"/>
        </w:rPr>
        <w:t xml:space="preserve">ve </w:t>
      </w:r>
      <w:r w:rsidR="000140E8" w:rsidRPr="00D05929">
        <w:rPr>
          <w:rFonts w:ascii="Arial" w:hAnsi="Arial" w:cs="Arial"/>
          <w:sz w:val="20"/>
          <w:szCs w:val="20"/>
        </w:rPr>
        <w:t>Z</w:t>
      </w:r>
      <w:r w:rsidR="001109B5" w:rsidRPr="00D05929">
        <w:rPr>
          <w:rFonts w:ascii="Arial" w:hAnsi="Arial" w:cs="Arial"/>
          <w:sz w:val="20"/>
          <w:szCs w:val="20"/>
        </w:rPr>
        <w:t xml:space="preserve">měně č. 2 </w:t>
      </w:r>
      <w:r w:rsidR="00DE3B8E" w:rsidRPr="00D05929">
        <w:rPr>
          <w:rFonts w:ascii="Arial" w:hAnsi="Arial" w:cs="Arial"/>
          <w:sz w:val="20"/>
          <w:szCs w:val="20"/>
        </w:rPr>
        <w:t>územního rozvoj</w:t>
      </w:r>
      <w:r w:rsidR="000140E8" w:rsidRPr="00D05929">
        <w:rPr>
          <w:rFonts w:ascii="Arial" w:hAnsi="Arial" w:cs="Arial"/>
          <w:sz w:val="20"/>
          <w:szCs w:val="20"/>
        </w:rPr>
        <w:t>ového plánu</w:t>
      </w:r>
      <w:r w:rsidR="00DE3B8E" w:rsidRPr="00D05929">
        <w:rPr>
          <w:rFonts w:ascii="Arial" w:hAnsi="Arial" w:cs="Arial"/>
          <w:sz w:val="20"/>
          <w:szCs w:val="20"/>
        </w:rPr>
        <w:t xml:space="preserve"> </w:t>
      </w:r>
      <w:r w:rsidRPr="00D05929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D05929">
        <w:rPr>
          <w:rFonts w:ascii="Arial" w:hAnsi="Arial" w:cs="Arial"/>
          <w:sz w:val="20"/>
          <w:szCs w:val="20"/>
        </w:rPr>
        <w:t xml:space="preserve"> výrob</w:t>
      </w:r>
      <w:r w:rsidRPr="00D05929">
        <w:rPr>
          <w:rFonts w:ascii="Arial" w:hAnsi="Arial" w:cs="Arial"/>
          <w:sz w:val="20"/>
          <w:szCs w:val="20"/>
        </w:rPr>
        <w:t>y</w:t>
      </w:r>
      <w:r w:rsidR="00712C83" w:rsidRPr="00D05929">
        <w:rPr>
          <w:rFonts w:ascii="Arial" w:hAnsi="Arial" w:cs="Arial"/>
          <w:sz w:val="20"/>
          <w:szCs w:val="20"/>
        </w:rPr>
        <w:t xml:space="preserve"> energie z</w:t>
      </w:r>
      <w:r w:rsidR="00CB738F" w:rsidRPr="00D05929">
        <w:rPr>
          <w:rFonts w:ascii="Arial" w:hAnsi="Arial" w:cs="Arial"/>
          <w:sz w:val="20"/>
          <w:szCs w:val="20"/>
        </w:rPr>
        <w:t> </w:t>
      </w:r>
      <w:r w:rsidR="00CB738F" w:rsidRPr="00D05929">
        <w:rPr>
          <w:rFonts w:ascii="Arial" w:hAnsi="Arial" w:cs="Arial"/>
          <w:b/>
          <w:bCs/>
          <w:sz w:val="20"/>
          <w:szCs w:val="20"/>
        </w:rPr>
        <w:t xml:space="preserve">větrné </w:t>
      </w:r>
      <w:r w:rsidRPr="00D05929">
        <w:rPr>
          <w:rFonts w:ascii="Arial" w:hAnsi="Arial" w:cs="Arial"/>
          <w:b/>
          <w:bCs/>
          <w:sz w:val="20"/>
          <w:szCs w:val="20"/>
        </w:rPr>
        <w:t>energie</w:t>
      </w:r>
      <w:r w:rsidR="00712C83" w:rsidRPr="00D05929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5657EFB1" w:rsidR="00712C83" w:rsidRPr="00D05929" w:rsidRDefault="00712C83" w:rsidP="00F147CB">
      <w:pPr>
        <w:pStyle w:val="Odstavecseseznamem"/>
        <w:numPr>
          <w:ilvl w:val="0"/>
          <w:numId w:val="25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D05929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D05929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D05929">
        <w:rPr>
          <w:rFonts w:ascii="Arial" w:hAnsi="Arial" w:cs="Arial"/>
          <w:sz w:val="20"/>
          <w:szCs w:val="20"/>
        </w:rPr>
        <w:t xml:space="preserve"> </w:t>
      </w:r>
      <w:r w:rsidR="002120FC" w:rsidRPr="00D05929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D05929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D05929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D05929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D05929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D05929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D05929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D05929">
        <w:rPr>
          <w:rFonts w:ascii="Arial" w:hAnsi="Arial" w:cs="Arial"/>
          <w:b/>
          <w:bCs/>
          <w:sz w:val="20"/>
          <w:szCs w:val="20"/>
        </w:rPr>
        <w:t>OZE</w:t>
      </w:r>
      <w:r w:rsidRPr="00D05929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7F267575" w:rsidR="00406D1B" w:rsidRPr="00D05929" w:rsidRDefault="00406D1B" w:rsidP="00D05929">
      <w:pPr>
        <w:pStyle w:val="Odstavecseseznamem"/>
        <w:numPr>
          <w:ilvl w:val="0"/>
          <w:numId w:val="26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D05929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13DD1523" w14:textId="5DC76D9C" w:rsidR="00A14AE1" w:rsidRPr="00694AB4" w:rsidRDefault="65AFA0AF" w:rsidP="00A04ECB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r w:rsidRPr="4D1B3DA6">
        <w:rPr>
          <w:rFonts w:ascii="Arial" w:hAnsi="Arial" w:cs="Arial"/>
          <w:sz w:val="20"/>
          <w:szCs w:val="20"/>
        </w:rPr>
        <w:t xml:space="preserve">Výška větrných elektráren </w:t>
      </w:r>
      <w:r w:rsidR="2F2B6BF8" w:rsidRPr="4D1B3DA6">
        <w:rPr>
          <w:rFonts w:ascii="Arial" w:hAnsi="Arial" w:cs="Arial"/>
          <w:sz w:val="20"/>
          <w:szCs w:val="20"/>
        </w:rPr>
        <w:t xml:space="preserve">(dále </w:t>
      </w:r>
      <w:r w:rsidR="391461CF" w:rsidRPr="4D1B3DA6">
        <w:rPr>
          <w:rFonts w:ascii="Arial" w:hAnsi="Arial" w:cs="Arial"/>
          <w:sz w:val="20"/>
          <w:szCs w:val="20"/>
        </w:rPr>
        <w:t>též</w:t>
      </w:r>
      <w:r w:rsidR="2F2B6BF8" w:rsidRPr="4D1B3DA6">
        <w:rPr>
          <w:rFonts w:ascii="Arial" w:hAnsi="Arial" w:cs="Arial"/>
          <w:sz w:val="20"/>
          <w:szCs w:val="20"/>
        </w:rPr>
        <w:t xml:space="preserve"> </w:t>
      </w:r>
      <w:r w:rsidR="4BC24A5C" w:rsidRPr="4D1B3DA6">
        <w:rPr>
          <w:rFonts w:ascii="Arial" w:hAnsi="Arial" w:cs="Arial"/>
          <w:sz w:val="20"/>
          <w:szCs w:val="20"/>
        </w:rPr>
        <w:t>„VTE“</w:t>
      </w:r>
      <w:r w:rsidR="2F2B6BF8" w:rsidRPr="4D1B3DA6">
        <w:rPr>
          <w:rFonts w:ascii="Arial" w:hAnsi="Arial" w:cs="Arial"/>
          <w:sz w:val="20"/>
          <w:szCs w:val="20"/>
        </w:rPr>
        <w:t xml:space="preserve">) </w:t>
      </w:r>
      <w:r w:rsidRPr="4D1B3DA6">
        <w:rPr>
          <w:rFonts w:ascii="Arial" w:hAnsi="Arial" w:cs="Arial"/>
          <w:sz w:val="20"/>
          <w:szCs w:val="20"/>
        </w:rPr>
        <w:t xml:space="preserve">v akcelerační oblasti nepřesáhne </w:t>
      </w:r>
      <w:r w:rsidR="40DC0E6F" w:rsidRPr="4D1B3DA6">
        <w:rPr>
          <w:rFonts w:ascii="Arial" w:hAnsi="Arial" w:cs="Arial"/>
          <w:sz w:val="20"/>
          <w:szCs w:val="20"/>
        </w:rPr>
        <w:t>2</w:t>
      </w:r>
      <w:r w:rsidR="00694AB4" w:rsidRPr="4D1B3DA6">
        <w:rPr>
          <w:rFonts w:ascii="Arial" w:hAnsi="Arial" w:cs="Arial"/>
          <w:sz w:val="20"/>
          <w:szCs w:val="20"/>
        </w:rPr>
        <w:t>0</w:t>
      </w:r>
      <w:r w:rsidR="7F14E4FA" w:rsidRPr="4D1B3DA6">
        <w:rPr>
          <w:rFonts w:ascii="Arial" w:hAnsi="Arial" w:cs="Arial"/>
          <w:sz w:val="20"/>
          <w:szCs w:val="20"/>
        </w:rPr>
        <w:t>0</w:t>
      </w:r>
      <w:r w:rsidRPr="4D1B3DA6">
        <w:rPr>
          <w:rFonts w:ascii="Arial" w:hAnsi="Arial" w:cs="Arial"/>
          <w:sz w:val="20"/>
          <w:szCs w:val="20"/>
        </w:rPr>
        <w:t>,0</w:t>
      </w:r>
      <w:r w:rsidR="00CD6397" w:rsidRPr="4D1B3DA6">
        <w:rPr>
          <w:rFonts w:ascii="Arial" w:hAnsi="Arial" w:cs="Arial"/>
          <w:sz w:val="20"/>
          <w:szCs w:val="20"/>
        </w:rPr>
        <w:t> </w:t>
      </w:r>
      <w:r w:rsidRPr="4D1B3DA6">
        <w:rPr>
          <w:rFonts w:ascii="Arial" w:hAnsi="Arial" w:cs="Arial"/>
          <w:sz w:val="20"/>
          <w:szCs w:val="20"/>
        </w:rPr>
        <w:t>m, měřeno od úrovně styku stožáru (tubusu) větrné elektrárny se základem po horní úvrať listů rotoru.</w:t>
      </w:r>
    </w:p>
    <w:p w14:paraId="2380A121" w14:textId="1443004A" w:rsidR="00A14AE1" w:rsidRPr="00694AB4" w:rsidRDefault="13814D3D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694AB4">
        <w:rPr>
          <w:rFonts w:ascii="Arial" w:hAnsi="Arial" w:cs="Arial"/>
          <w:sz w:val="20"/>
          <w:szCs w:val="20"/>
        </w:rPr>
        <w:t xml:space="preserve">Záměry OZE a související infrastruktury budou </w:t>
      </w:r>
      <w:r w:rsidRPr="00D05929">
        <w:rPr>
          <w:rFonts w:ascii="Arial" w:hAnsi="Arial" w:cs="Arial"/>
          <w:sz w:val="20"/>
          <w:szCs w:val="20"/>
        </w:rPr>
        <w:t xml:space="preserve">umisťovány mimo nemovité kulturní památky. </w:t>
      </w:r>
      <w:r w:rsidR="1AC4F8CD" w:rsidRPr="00D05929">
        <w:rPr>
          <w:rFonts w:ascii="Arial" w:hAnsi="Arial" w:cs="Arial"/>
          <w:sz w:val="20"/>
          <w:szCs w:val="20"/>
        </w:rPr>
        <w:t xml:space="preserve">Půdorysná výměra areálů určených pro skladování elektřiny (např. oplocených areálů s kontejnery) nepřesáhne </w:t>
      </w:r>
      <w:r w:rsidR="496E1882" w:rsidRPr="00D05929">
        <w:rPr>
          <w:rFonts w:ascii="Arial" w:hAnsi="Arial" w:cs="Arial"/>
          <w:sz w:val="20"/>
          <w:szCs w:val="20"/>
        </w:rPr>
        <w:t>0,</w:t>
      </w:r>
      <w:r w:rsidR="39BBB988" w:rsidRPr="00D05929">
        <w:rPr>
          <w:rFonts w:ascii="Arial" w:hAnsi="Arial" w:cs="Arial"/>
          <w:sz w:val="20"/>
          <w:szCs w:val="20"/>
        </w:rPr>
        <w:t>06</w:t>
      </w:r>
      <w:r w:rsidR="1AC4F8CD" w:rsidRPr="00D05929">
        <w:rPr>
          <w:rFonts w:ascii="Arial" w:hAnsi="Arial" w:cs="Arial"/>
          <w:sz w:val="20"/>
          <w:szCs w:val="20"/>
        </w:rPr>
        <w:t xml:space="preserve"> ha</w:t>
      </w:r>
      <w:r w:rsidR="00D05929" w:rsidRPr="00D05929">
        <w:rPr>
          <w:rFonts w:ascii="Arial" w:hAnsi="Arial" w:cs="Arial"/>
          <w:sz w:val="20"/>
          <w:szCs w:val="20"/>
        </w:rPr>
        <w:t xml:space="preserve"> na jednu VTE </w:t>
      </w:r>
      <w:r w:rsidR="57D47C61" w:rsidRPr="00D05929">
        <w:rPr>
          <w:rFonts w:ascii="Arial" w:hAnsi="Arial" w:cs="Arial"/>
          <w:sz w:val="20"/>
          <w:szCs w:val="20"/>
        </w:rPr>
        <w:t xml:space="preserve">a </w:t>
      </w:r>
      <w:r w:rsidR="39BBB988" w:rsidRPr="00D05929">
        <w:rPr>
          <w:rFonts w:ascii="Arial" w:hAnsi="Arial" w:cs="Arial"/>
          <w:sz w:val="20"/>
          <w:szCs w:val="20"/>
        </w:rPr>
        <w:t>0,4</w:t>
      </w:r>
      <w:r w:rsidR="57D47C61" w:rsidRPr="00D05929">
        <w:rPr>
          <w:rFonts w:ascii="Arial" w:hAnsi="Arial" w:cs="Arial"/>
          <w:sz w:val="20"/>
          <w:szCs w:val="20"/>
        </w:rPr>
        <w:t xml:space="preserve"> ha pro celou akcelerační oblast</w:t>
      </w:r>
      <w:r w:rsidR="1AC4F8CD" w:rsidRPr="00D05929">
        <w:rPr>
          <w:rFonts w:ascii="Arial" w:hAnsi="Arial" w:cs="Arial"/>
          <w:sz w:val="20"/>
          <w:szCs w:val="20"/>
        </w:rPr>
        <w:t xml:space="preserve">. Přitom v žádné části areálu </w:t>
      </w:r>
      <w:r w:rsidR="00C22E6E" w:rsidRPr="00D05929">
        <w:rPr>
          <w:rFonts w:ascii="Arial" w:hAnsi="Arial" w:cs="Arial"/>
          <w:sz w:val="20"/>
          <w:szCs w:val="20"/>
        </w:rPr>
        <w:t>nesmí výška staveb a zařízení pro</w:t>
      </w:r>
      <w:r w:rsidR="1BABA53D" w:rsidRPr="00D05929">
        <w:rPr>
          <w:rFonts w:ascii="Arial" w:hAnsi="Arial" w:cs="Arial"/>
          <w:sz w:val="20"/>
          <w:szCs w:val="20"/>
        </w:rPr>
        <w:t> </w:t>
      </w:r>
      <w:r w:rsidR="00C22E6E" w:rsidRPr="00D05929">
        <w:rPr>
          <w:rFonts w:ascii="Arial" w:hAnsi="Arial" w:cs="Arial"/>
          <w:sz w:val="20"/>
          <w:szCs w:val="20"/>
        </w:rPr>
        <w:t>ukládání elektřiny přesáhnout 8,0 m, měřeno od upraveného terénu po nejvyšší bod stavby/zařízení (např. atika, hřeben střechy</w:t>
      </w:r>
      <w:r w:rsidR="0CB8D396" w:rsidRPr="00D05929">
        <w:rPr>
          <w:rFonts w:ascii="Arial" w:hAnsi="Arial" w:cs="Arial"/>
          <w:sz w:val="20"/>
          <w:szCs w:val="20"/>
        </w:rPr>
        <w:t>, horní hrana kontejneru</w:t>
      </w:r>
      <w:r w:rsidR="00C22E6E" w:rsidRPr="00D05929">
        <w:rPr>
          <w:rFonts w:ascii="Arial" w:hAnsi="Arial" w:cs="Arial"/>
          <w:sz w:val="20"/>
          <w:szCs w:val="20"/>
        </w:rPr>
        <w:t>). Uvedený výškový limit musí být dodržen uprostřed každé hrany vnějšího líce stavby/zařízení.</w:t>
      </w:r>
    </w:p>
    <w:p w14:paraId="1DF82795" w14:textId="3542F755" w:rsidR="005840B4" w:rsidRPr="00694AB4" w:rsidRDefault="05F5F2A7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694AB4">
        <w:rPr>
          <w:rFonts w:ascii="Arial" w:hAnsi="Arial" w:cs="Arial"/>
          <w:sz w:val="20"/>
          <w:szCs w:val="20"/>
        </w:rPr>
        <w:t>Vedlejší stavby a zařízení záměru OZE včetně oplocení budou navrženy a provedeny tak, že na obvodový plášť staveb a zařízení a na oplocení nebudou použity výrazné barvy; použity budou tlumené, přírodní a neutrální odstíny (typicky tmavě zelená, hnědá nebo šedá) v matném provedení.</w:t>
      </w:r>
    </w:p>
    <w:p w14:paraId="1D49EB42" w14:textId="631341A9" w:rsidR="007C4E6D" w:rsidRPr="00694AB4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694AB4">
        <w:rPr>
          <w:rFonts w:ascii="Arial" w:hAnsi="Arial" w:cs="Arial"/>
          <w:sz w:val="20"/>
          <w:szCs w:val="20"/>
        </w:rPr>
        <w:lastRenderedPageBreak/>
        <w:t>V místě základů větrné elektrárny a zařízení související infrastruktury nebudou prováděny terénní úpravy, kterými by se původní úroveň terénu zvyšovala o více než 5,0 m nebo snižovala o více než 5,0 m. Podmínka se nevztahuje na případné dočasné terénní úpravy po dobu výstavby větrné elektrárny.</w:t>
      </w:r>
    </w:p>
    <w:p w14:paraId="40FF57AE" w14:textId="248EDC85" w:rsidR="007C4E6D" w:rsidRPr="00694AB4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694AB4"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</w:p>
    <w:p w14:paraId="783E4857" w14:textId="2548681E" w:rsidR="00404D6A" w:rsidRPr="002C47B7" w:rsidRDefault="00404D6A" w:rsidP="0080426D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</w:pPr>
      <w:bookmarkStart w:id="2" w:name="_Hlk214036783"/>
      <w:r w:rsidRPr="00694AB4">
        <w:rPr>
          <w:rFonts w:ascii="Arial" w:hAnsi="Arial" w:cs="Arial"/>
          <w:sz w:val="20"/>
          <w:szCs w:val="20"/>
        </w:rPr>
        <w:t>Záměry OZE budou umisťovány do území tak, aby v okolí nevznikly zemědělské pozemky bez přístupu k veřejně přístupné pozemní komunikaci, nebo neobhospodařovatelné zbytkové zemědělské pozemky.</w:t>
      </w:r>
      <w:r w:rsidR="00BD4F19">
        <w:rPr>
          <w:rFonts w:ascii="Arial" w:hAnsi="Arial" w:cs="Arial"/>
          <w:sz w:val="20"/>
          <w:szCs w:val="20"/>
        </w:rPr>
        <w:t xml:space="preserve"> Nezbytná dopravní infrastruktura bude vedena přednostně po stávajících veřejně přístupných pozemních komunikacích, zemědělských účelových komunikacích, po hranicích půdních bloků nebo v návaznosti na stávající liniové prvky v území. Nové komunikace a zpevněné plochy lze na ZPF umístit pouze v</w:t>
      </w:r>
      <w:r w:rsidR="00203E92">
        <w:rPr>
          <w:rFonts w:ascii="Arial" w:hAnsi="Arial" w:cs="Arial"/>
          <w:sz w:val="20"/>
          <w:szCs w:val="20"/>
        </w:rPr>
        <w:t> </w:t>
      </w:r>
      <w:r w:rsidR="00BD4F19">
        <w:rPr>
          <w:rFonts w:ascii="Arial" w:hAnsi="Arial" w:cs="Arial"/>
          <w:sz w:val="20"/>
          <w:szCs w:val="20"/>
        </w:rPr>
        <w:t>nezbytném rozsahu. V rámci projektového řešení bude preferováno jejich vedení po okrajích půdních bloků.</w:t>
      </w:r>
    </w:p>
    <w:p w14:paraId="49BAC73C" w14:textId="1D7A36FB" w:rsidR="00404D6A" w:rsidRPr="00694AB4" w:rsidRDefault="00404D6A" w:rsidP="00A04ECB">
      <w:pPr>
        <w:pStyle w:val="Odstavecseseznamem"/>
        <w:numPr>
          <w:ilvl w:val="0"/>
          <w:numId w:val="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694AB4">
        <w:rPr>
          <w:rFonts w:ascii="Arial" w:hAnsi="Arial" w:cs="Arial"/>
          <w:sz w:val="20"/>
          <w:szCs w:val="20"/>
        </w:rPr>
        <w:t>Záměry OZE budou umisťovány tak, aby nebyla poškozena protierozní opatření realizovaná v souladu s rozhodnutími podle jiných právních předpisů.</w:t>
      </w:r>
    </w:p>
    <w:p w14:paraId="71EE2B12" w14:textId="192B1921" w:rsidR="007C4E6D" w:rsidRPr="00694AB4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bookmarkStart w:id="3" w:name="_Hlk214036826"/>
      <w:bookmarkEnd w:id="2"/>
      <w:r w:rsidRPr="00694AB4">
        <w:rPr>
          <w:rFonts w:ascii="Arial" w:hAnsi="Arial" w:cs="Arial"/>
          <w:sz w:val="20"/>
          <w:szCs w:val="20"/>
        </w:rPr>
        <w:t xml:space="preserve">Záměry OZE a související infrastruktury budou umisťovány mimo mokřady, prameniště, rašeliniště, vodní plochy a toky (trvalé i občasné) ve vzdálenosti min. 8 metrů od břehové hrany, </w:t>
      </w:r>
      <w:r w:rsidR="00BA38CF">
        <w:rPr>
          <w:rFonts w:ascii="Arial" w:hAnsi="Arial" w:cs="Arial"/>
          <w:sz w:val="20"/>
          <w:szCs w:val="20"/>
        </w:rPr>
        <w:t>případně</w:t>
      </w:r>
      <w:r w:rsidR="001B6439">
        <w:rPr>
          <w:rFonts w:ascii="Arial" w:hAnsi="Arial" w:cs="Arial"/>
          <w:sz w:val="20"/>
          <w:szCs w:val="20"/>
        </w:rPr>
        <w:t xml:space="preserve"> od okrajů</w:t>
      </w:r>
      <w:r w:rsidR="00BA38CF">
        <w:rPr>
          <w:rFonts w:ascii="Arial" w:hAnsi="Arial" w:cs="Arial"/>
          <w:sz w:val="20"/>
          <w:szCs w:val="20"/>
        </w:rPr>
        <w:t xml:space="preserve"> břehových porostů, </w:t>
      </w:r>
      <w:r w:rsidRPr="00694AB4">
        <w:rPr>
          <w:rFonts w:ascii="Arial" w:hAnsi="Arial" w:cs="Arial"/>
          <w:sz w:val="20"/>
          <w:szCs w:val="20"/>
        </w:rPr>
        <w:t xml:space="preserve">vyjma nezbytných křížení liniové dopravní a technické infrastruktury s vodním tokem. </w:t>
      </w:r>
    </w:p>
    <w:p w14:paraId="3239DE0B" w14:textId="029CF64C" w:rsidR="007C4E6D" w:rsidRPr="00694AB4" w:rsidRDefault="007C4E6D" w:rsidP="00A04ECB">
      <w:pPr>
        <w:pStyle w:val="Odstavecseseznamem"/>
        <w:numPr>
          <w:ilvl w:val="0"/>
          <w:numId w:val="1"/>
        </w:numPr>
        <w:spacing w:after="120" w:line="276" w:lineRule="auto"/>
        <w:ind w:left="1213"/>
        <w:jc w:val="both"/>
        <w:rPr>
          <w:rFonts w:ascii="Arial" w:hAnsi="Arial" w:cs="Arial"/>
          <w:sz w:val="20"/>
          <w:szCs w:val="20"/>
        </w:rPr>
      </w:pPr>
      <w:bookmarkStart w:id="4" w:name="_Hlk214036880"/>
      <w:bookmarkStart w:id="5" w:name="_Hlk213769036"/>
      <w:bookmarkEnd w:id="3"/>
      <w:r w:rsidRPr="00694AB4">
        <w:rPr>
          <w:rFonts w:ascii="Arial" w:hAnsi="Arial" w:cs="Arial"/>
          <w:sz w:val="20"/>
          <w:szCs w:val="20"/>
        </w:rPr>
        <w:t xml:space="preserve">Záměry OZE budou umisťovány mimo plochy a koridory lokálního </w:t>
      </w:r>
      <w:r w:rsidR="005C160A" w:rsidRPr="00694AB4">
        <w:rPr>
          <w:rFonts w:ascii="Arial" w:hAnsi="Arial" w:cs="Arial"/>
          <w:sz w:val="20"/>
          <w:szCs w:val="20"/>
        </w:rPr>
        <w:t xml:space="preserve">územního systému ekologické stability (dále jen </w:t>
      </w:r>
      <w:r w:rsidR="40BD07FD" w:rsidRPr="00694AB4">
        <w:rPr>
          <w:rFonts w:ascii="Arial" w:hAnsi="Arial" w:cs="Arial"/>
          <w:sz w:val="20"/>
          <w:szCs w:val="20"/>
        </w:rPr>
        <w:t>„ÚSES“</w:t>
      </w:r>
      <w:r w:rsidR="005C160A" w:rsidRPr="00694AB4">
        <w:rPr>
          <w:rFonts w:ascii="Arial" w:hAnsi="Arial" w:cs="Arial"/>
          <w:sz w:val="20"/>
          <w:szCs w:val="20"/>
        </w:rPr>
        <w:t>)</w:t>
      </w:r>
      <w:r w:rsidRPr="00694AB4">
        <w:rPr>
          <w:rFonts w:ascii="Arial" w:hAnsi="Arial" w:cs="Arial"/>
          <w:sz w:val="20"/>
          <w:szCs w:val="20"/>
        </w:rPr>
        <w:t xml:space="preserve"> a mimo regionální a nadregionální biokoridory, vyjma nezbytných křížení liniové dopravní a technické infrastruktury s biokoridory.</w:t>
      </w:r>
    </w:p>
    <w:p w14:paraId="5CA1D93A" w14:textId="2D2A4E2B" w:rsidR="00B34A16" w:rsidRPr="00694AB4" w:rsidRDefault="00B34A16" w:rsidP="00A04ECB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6" w:name="_Hlk214036903"/>
      <w:bookmarkEnd w:id="4"/>
      <w:r w:rsidRPr="00694AB4">
        <w:rPr>
          <w:rFonts w:ascii="Arial" w:hAnsi="Arial" w:cs="Arial"/>
          <w:sz w:val="20"/>
          <w:szCs w:val="20"/>
        </w:rPr>
        <w:t>Bude zajištěna</w:t>
      </w:r>
      <w:r w:rsidR="001B0D09" w:rsidRPr="00694AB4">
        <w:rPr>
          <w:rFonts w:ascii="Arial" w:hAnsi="Arial" w:cs="Arial"/>
          <w:sz w:val="20"/>
          <w:szCs w:val="20"/>
        </w:rPr>
        <w:t xml:space="preserve"> ochran</w:t>
      </w:r>
      <w:r w:rsidR="00EA756C" w:rsidRPr="00694AB4">
        <w:rPr>
          <w:rFonts w:ascii="Arial" w:hAnsi="Arial" w:cs="Arial"/>
          <w:sz w:val="20"/>
          <w:szCs w:val="20"/>
        </w:rPr>
        <w:t>a</w:t>
      </w:r>
      <w:r w:rsidR="001B0D09" w:rsidRPr="00694AB4">
        <w:rPr>
          <w:rFonts w:ascii="Arial" w:hAnsi="Arial" w:cs="Arial"/>
          <w:sz w:val="20"/>
          <w:szCs w:val="20"/>
        </w:rPr>
        <w:t xml:space="preserve"> ptáků</w:t>
      </w:r>
      <w:r w:rsidR="009008D1" w:rsidRPr="00694AB4">
        <w:rPr>
          <w:rFonts w:ascii="Arial" w:hAnsi="Arial" w:cs="Arial"/>
          <w:sz w:val="20"/>
          <w:szCs w:val="20"/>
        </w:rPr>
        <w:t xml:space="preserve"> </w:t>
      </w:r>
      <w:r w:rsidR="0080426D">
        <w:rPr>
          <w:rFonts w:ascii="Arial" w:hAnsi="Arial" w:cs="Arial"/>
          <w:sz w:val="20"/>
          <w:szCs w:val="20"/>
        </w:rPr>
        <w:t xml:space="preserve">a netopýrů </w:t>
      </w:r>
      <w:r w:rsidR="009008D1" w:rsidRPr="00694AB4">
        <w:rPr>
          <w:rFonts w:ascii="Arial" w:hAnsi="Arial" w:cs="Arial"/>
          <w:sz w:val="20"/>
          <w:szCs w:val="20"/>
        </w:rPr>
        <w:t>těmito způsoby</w:t>
      </w:r>
      <w:r w:rsidRPr="00694AB4">
        <w:rPr>
          <w:rFonts w:ascii="Arial" w:hAnsi="Arial" w:cs="Arial"/>
          <w:sz w:val="20"/>
          <w:szCs w:val="20"/>
        </w:rPr>
        <w:t>:</w:t>
      </w:r>
      <w:r w:rsidR="001B0D09" w:rsidRPr="00694AB4">
        <w:rPr>
          <w:rFonts w:ascii="Arial" w:hAnsi="Arial" w:cs="Arial"/>
          <w:sz w:val="20"/>
          <w:szCs w:val="20"/>
        </w:rPr>
        <w:t xml:space="preserve"> </w:t>
      </w:r>
    </w:p>
    <w:p w14:paraId="1BD2FDFA" w14:textId="473C72C7" w:rsidR="00B34A16" w:rsidRPr="00694AB4" w:rsidRDefault="009008D1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4EE2F0E8">
        <w:rPr>
          <w:rFonts w:ascii="Arial" w:hAnsi="Arial" w:cs="Arial"/>
          <w:sz w:val="20"/>
          <w:szCs w:val="20"/>
        </w:rPr>
        <w:t>P</w:t>
      </w:r>
      <w:r w:rsidR="001B0D09" w:rsidRPr="4EE2F0E8">
        <w:rPr>
          <w:rFonts w:ascii="Arial" w:hAnsi="Arial" w:cs="Arial"/>
          <w:sz w:val="20"/>
          <w:szCs w:val="20"/>
        </w:rPr>
        <w:t xml:space="preserve">řed úrazy a mortalitou na elektrickém vedení </w:t>
      </w:r>
      <w:r w:rsidR="00B029E7" w:rsidRPr="4EE2F0E8">
        <w:rPr>
          <w:rFonts w:ascii="Arial" w:hAnsi="Arial" w:cs="Arial"/>
          <w:sz w:val="20"/>
          <w:szCs w:val="20"/>
        </w:rPr>
        <w:t>–</w:t>
      </w:r>
      <w:r w:rsidR="001B0D09" w:rsidRPr="4EE2F0E8">
        <w:rPr>
          <w:rFonts w:ascii="Arial" w:hAnsi="Arial" w:cs="Arial"/>
          <w:sz w:val="20"/>
          <w:szCs w:val="20"/>
        </w:rPr>
        <w:t xml:space="preserve"> přípojné elektrické vedení bude </w:t>
      </w:r>
      <w:r w:rsidR="00B029E7" w:rsidRPr="4EE2F0E8">
        <w:rPr>
          <w:rFonts w:ascii="Arial" w:hAnsi="Arial" w:cs="Arial"/>
          <w:sz w:val="20"/>
          <w:szCs w:val="20"/>
        </w:rPr>
        <w:t>přednostně realizován</w:t>
      </w:r>
      <w:r w:rsidR="001B0D09" w:rsidRPr="4EE2F0E8">
        <w:rPr>
          <w:rFonts w:ascii="Arial" w:hAnsi="Arial" w:cs="Arial"/>
          <w:sz w:val="20"/>
          <w:szCs w:val="20"/>
        </w:rPr>
        <w:t>o podzemní</w:t>
      </w:r>
      <w:r w:rsidR="740422EA" w:rsidRPr="4EE2F0E8">
        <w:rPr>
          <w:rFonts w:ascii="Arial" w:hAnsi="Arial" w:cs="Arial"/>
          <w:sz w:val="20"/>
          <w:szCs w:val="20"/>
        </w:rPr>
        <w:t>m</w:t>
      </w:r>
      <w:r w:rsidR="001B0D09" w:rsidRPr="4EE2F0E8">
        <w:rPr>
          <w:rFonts w:ascii="Arial" w:hAnsi="Arial" w:cs="Arial"/>
          <w:sz w:val="20"/>
          <w:szCs w:val="20"/>
        </w:rPr>
        <w:t xml:space="preserve"> kabelem</w:t>
      </w:r>
      <w:r w:rsidR="00856BFE" w:rsidRPr="4EE2F0E8">
        <w:rPr>
          <w:rFonts w:ascii="Arial" w:hAnsi="Arial" w:cs="Arial"/>
          <w:sz w:val="20"/>
          <w:szCs w:val="20"/>
        </w:rPr>
        <w:t xml:space="preserve"> za předpokladu, že se vyhnou chráněným biotopům a stanovištím</w:t>
      </w:r>
      <w:r w:rsidR="001B0D09" w:rsidRPr="4EE2F0E8">
        <w:rPr>
          <w:rFonts w:ascii="Arial" w:hAnsi="Arial" w:cs="Arial"/>
          <w:sz w:val="20"/>
          <w:szCs w:val="20"/>
        </w:rPr>
        <w:t>.</w:t>
      </w:r>
    </w:p>
    <w:p w14:paraId="4149FB9F" w14:textId="2E5D46A1" w:rsidR="001B0D09" w:rsidRPr="00694AB4" w:rsidRDefault="009008D1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694AB4">
        <w:rPr>
          <w:rFonts w:ascii="Arial" w:hAnsi="Arial" w:cs="Arial"/>
          <w:sz w:val="20"/>
          <w:szCs w:val="20"/>
        </w:rPr>
        <w:t>P</w:t>
      </w:r>
      <w:r w:rsidR="001B0D09" w:rsidRPr="00694AB4">
        <w:rPr>
          <w:rFonts w:ascii="Arial" w:hAnsi="Arial" w:cs="Arial"/>
          <w:sz w:val="20"/>
          <w:szCs w:val="20"/>
        </w:rPr>
        <w:t>řed kolizemi s lopatkami VTE volbou vhodného technického řešení</w:t>
      </w:r>
      <w:r w:rsidR="0080426D">
        <w:rPr>
          <w:rFonts w:ascii="Arial" w:hAnsi="Arial" w:cs="Arial"/>
          <w:sz w:val="20"/>
          <w:szCs w:val="20"/>
        </w:rPr>
        <w:t xml:space="preserve"> (viz odst. 3.2)</w:t>
      </w:r>
      <w:r w:rsidR="00B029E7" w:rsidRPr="00694AB4">
        <w:rPr>
          <w:rFonts w:ascii="Arial" w:hAnsi="Arial" w:cs="Arial"/>
          <w:sz w:val="20"/>
          <w:szCs w:val="20"/>
        </w:rPr>
        <w:t>.</w:t>
      </w:r>
    </w:p>
    <w:p w14:paraId="4E46CDD7" w14:textId="7C03D8A5" w:rsidR="001B0D09" w:rsidRPr="00694AB4" w:rsidRDefault="009008D1" w:rsidP="00A04ECB">
      <w:pPr>
        <w:pStyle w:val="Odstavecseseznamem"/>
        <w:numPr>
          <w:ilvl w:val="1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694AB4">
        <w:rPr>
          <w:rFonts w:ascii="Arial" w:hAnsi="Arial" w:cs="Arial"/>
          <w:sz w:val="20"/>
          <w:szCs w:val="20"/>
        </w:rPr>
        <w:t>P</w:t>
      </w:r>
      <w:r w:rsidR="001B0D09" w:rsidRPr="00694AB4">
        <w:rPr>
          <w:rFonts w:ascii="Arial" w:hAnsi="Arial" w:cs="Arial"/>
          <w:sz w:val="20"/>
          <w:szCs w:val="20"/>
        </w:rPr>
        <w:t xml:space="preserve">řed hnízděním na VTE </w:t>
      </w:r>
      <w:r w:rsidR="004837B5">
        <w:rPr>
          <w:rFonts w:ascii="Arial" w:hAnsi="Arial" w:cs="Arial"/>
          <w:sz w:val="20"/>
          <w:szCs w:val="20"/>
        </w:rPr>
        <w:t xml:space="preserve">nebo pronikáním do její konstrukce </w:t>
      </w:r>
      <w:r w:rsidR="001B0D09" w:rsidRPr="00694AB4">
        <w:rPr>
          <w:rFonts w:ascii="Arial" w:hAnsi="Arial" w:cs="Arial"/>
          <w:sz w:val="20"/>
          <w:szCs w:val="20"/>
        </w:rPr>
        <w:t>volbou vhodného technického řešení</w:t>
      </w:r>
      <w:r w:rsidR="009F2E0A">
        <w:rPr>
          <w:rFonts w:ascii="Arial" w:hAnsi="Arial" w:cs="Arial"/>
          <w:sz w:val="20"/>
          <w:szCs w:val="20"/>
        </w:rPr>
        <w:t xml:space="preserve"> – to bude voleno tak, aby bylo dostatečně účinné, ale nepředstavovalo riziko úrazů a mortality ptáků a netopýrů</w:t>
      </w:r>
      <w:r w:rsidR="00190E5A" w:rsidRPr="00694AB4">
        <w:rPr>
          <w:rFonts w:ascii="Arial" w:hAnsi="Arial" w:cs="Arial"/>
          <w:sz w:val="20"/>
          <w:szCs w:val="20"/>
        </w:rPr>
        <w:t>.</w:t>
      </w:r>
    </w:p>
    <w:p w14:paraId="0126B8A2" w14:textId="06D07DD8" w:rsidR="00085B98" w:rsidRDefault="001B0D09" w:rsidP="00C42111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7" w:name="_Hlk214036949"/>
      <w:bookmarkEnd w:id="6"/>
      <w:r w:rsidRPr="0077457A">
        <w:rPr>
          <w:rFonts w:ascii="Arial" w:hAnsi="Arial" w:cs="Arial"/>
          <w:sz w:val="20"/>
          <w:szCs w:val="20"/>
        </w:rPr>
        <w:t xml:space="preserve">Pro </w:t>
      </w:r>
      <w:r w:rsidR="00190E5A" w:rsidRPr="0077457A">
        <w:rPr>
          <w:rFonts w:ascii="Arial" w:hAnsi="Arial" w:cs="Arial"/>
          <w:sz w:val="20"/>
          <w:szCs w:val="20"/>
        </w:rPr>
        <w:t>navazující</w:t>
      </w:r>
      <w:r w:rsidRPr="0077457A">
        <w:rPr>
          <w:rFonts w:ascii="Arial" w:hAnsi="Arial" w:cs="Arial"/>
          <w:sz w:val="20"/>
          <w:szCs w:val="20"/>
        </w:rPr>
        <w:t xml:space="preserve"> řízení</w:t>
      </w:r>
      <w:r w:rsidR="00190E5A" w:rsidRPr="0077457A">
        <w:rPr>
          <w:rFonts w:ascii="Arial" w:hAnsi="Arial" w:cs="Arial"/>
          <w:sz w:val="20"/>
          <w:szCs w:val="20"/>
        </w:rPr>
        <w:t xml:space="preserve"> dle stavebního zákona</w:t>
      </w:r>
      <w:r w:rsidRPr="0077457A">
        <w:rPr>
          <w:rFonts w:ascii="Arial" w:hAnsi="Arial" w:cs="Arial"/>
          <w:sz w:val="20"/>
          <w:szCs w:val="20"/>
        </w:rPr>
        <w:t xml:space="preserve"> zpracovat </w:t>
      </w:r>
      <w:r w:rsidRPr="00694AB4">
        <w:rPr>
          <w:rFonts w:ascii="Arial" w:hAnsi="Arial" w:cs="Arial"/>
          <w:sz w:val="20"/>
          <w:szCs w:val="20"/>
        </w:rPr>
        <w:t xml:space="preserve">hlukovou studii </w:t>
      </w:r>
      <w:r w:rsidR="008864A5" w:rsidRPr="008864A5">
        <w:rPr>
          <w:rFonts w:ascii="Arial" w:hAnsi="Arial" w:cs="Arial"/>
          <w:sz w:val="20"/>
          <w:szCs w:val="20"/>
        </w:rPr>
        <w:t>hodnotící vliv nově umisťovaného OZE kumulativně spolu se stávajícími či povolenými stacionárními zdroji hluku a již projednávanými záměry stacionárních zdrojů hluku v dotčeném území, která prokáže, že nebudou překračovány hygienické limity hluku v</w:t>
      </w:r>
      <w:r w:rsidR="008864A5">
        <w:rPr>
          <w:rFonts w:ascii="Arial" w:hAnsi="Arial" w:cs="Arial"/>
          <w:sz w:val="20"/>
          <w:szCs w:val="20"/>
        </w:rPr>
        <w:t> </w:t>
      </w:r>
      <w:r w:rsidR="008864A5" w:rsidRPr="008864A5">
        <w:rPr>
          <w:rFonts w:ascii="Arial" w:hAnsi="Arial" w:cs="Arial"/>
          <w:sz w:val="20"/>
          <w:szCs w:val="20"/>
        </w:rPr>
        <w:t>chráněných venkovních prostorech a chráněných venkovních prostorech staveb</w:t>
      </w:r>
      <w:r w:rsidR="00085B98" w:rsidRPr="00694AB4">
        <w:rPr>
          <w:rFonts w:ascii="Arial" w:hAnsi="Arial" w:cs="Arial"/>
          <w:sz w:val="20"/>
          <w:szCs w:val="20"/>
        </w:rPr>
        <w:t>.</w:t>
      </w:r>
    </w:p>
    <w:p w14:paraId="32F1CB02" w14:textId="5327D859" w:rsidR="001B0D09" w:rsidRPr="0077457A" w:rsidRDefault="00085B98" w:rsidP="00C42111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77457A">
        <w:rPr>
          <w:rFonts w:ascii="Arial" w:hAnsi="Arial" w:cs="Arial"/>
          <w:sz w:val="20"/>
          <w:szCs w:val="20"/>
        </w:rPr>
        <w:t xml:space="preserve">Pro </w:t>
      </w:r>
      <w:r w:rsidR="00190E5A" w:rsidRPr="0077457A">
        <w:rPr>
          <w:rFonts w:ascii="Arial" w:hAnsi="Arial" w:cs="Arial"/>
          <w:sz w:val="20"/>
          <w:szCs w:val="20"/>
        </w:rPr>
        <w:t xml:space="preserve">navazující řízení dle stavebního zákona </w:t>
      </w:r>
      <w:r w:rsidR="001B0D09" w:rsidRPr="0077457A">
        <w:rPr>
          <w:rFonts w:ascii="Arial" w:hAnsi="Arial" w:cs="Arial"/>
          <w:sz w:val="20"/>
          <w:szCs w:val="20"/>
        </w:rPr>
        <w:t xml:space="preserve">zpracovat studii působení stroboskopického efektu na </w:t>
      </w:r>
      <w:r w:rsidRPr="0077457A">
        <w:rPr>
          <w:rFonts w:ascii="Arial" w:hAnsi="Arial" w:cs="Arial"/>
          <w:sz w:val="20"/>
          <w:szCs w:val="20"/>
        </w:rPr>
        <w:t>obytnou zástavbu</w:t>
      </w:r>
      <w:r w:rsidR="001B0D09" w:rsidRPr="0077457A">
        <w:rPr>
          <w:rFonts w:ascii="Arial" w:hAnsi="Arial" w:cs="Arial"/>
          <w:sz w:val="20"/>
          <w:szCs w:val="20"/>
        </w:rPr>
        <w:t xml:space="preserve"> s vymezením VTE, u nichž je nutno dobu provozu omezit tak, aby </w:t>
      </w:r>
      <w:proofErr w:type="spellStart"/>
      <w:r w:rsidR="001B0D09" w:rsidRPr="0077457A">
        <w:rPr>
          <w:rFonts w:ascii="Arial" w:hAnsi="Arial" w:cs="Arial"/>
          <w:sz w:val="20"/>
          <w:szCs w:val="20"/>
        </w:rPr>
        <w:t>shadow</w:t>
      </w:r>
      <w:proofErr w:type="spellEnd"/>
      <w:r w:rsidR="001B0D09" w:rsidRPr="0077457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B0D09" w:rsidRPr="0077457A">
        <w:rPr>
          <w:rFonts w:ascii="Arial" w:hAnsi="Arial" w:cs="Arial"/>
          <w:sz w:val="20"/>
          <w:szCs w:val="20"/>
        </w:rPr>
        <w:t>flicker</w:t>
      </w:r>
      <w:proofErr w:type="spellEnd"/>
      <w:r w:rsidR="001B0D09" w:rsidRPr="0077457A">
        <w:rPr>
          <w:rFonts w:ascii="Arial" w:hAnsi="Arial" w:cs="Arial"/>
          <w:sz w:val="20"/>
          <w:szCs w:val="20"/>
        </w:rPr>
        <w:t xml:space="preserve"> efekt nepřekročil dobu trvání 30 hodin/rok</w:t>
      </w:r>
      <w:bookmarkEnd w:id="5"/>
      <w:r w:rsidR="001B0D09" w:rsidRPr="0077457A">
        <w:rPr>
          <w:rFonts w:ascii="Arial" w:hAnsi="Arial" w:cs="Arial"/>
          <w:sz w:val="20"/>
          <w:szCs w:val="20"/>
        </w:rPr>
        <w:t>.</w:t>
      </w:r>
    </w:p>
    <w:p w14:paraId="1A2160E8" w14:textId="59DA62A7" w:rsidR="0019629F" w:rsidRPr="00694AB4" w:rsidRDefault="0019629F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694AB4">
        <w:rPr>
          <w:rFonts w:ascii="Arial" w:hAnsi="Arial" w:cs="Arial"/>
          <w:sz w:val="20"/>
          <w:szCs w:val="20"/>
        </w:rPr>
        <w:t>Pro osvětlení VTE bude použito přerušované světlo, a to v minimálním počtu zdrojů světla a minimální intenzitou a frekvencí záblesků (20</w:t>
      </w:r>
      <w:r w:rsidR="005457D0">
        <w:rPr>
          <w:rFonts w:ascii="Arial" w:hAnsi="Arial" w:cs="Arial"/>
          <w:sz w:val="20"/>
          <w:szCs w:val="20"/>
        </w:rPr>
        <w:t>–</w:t>
      </w:r>
      <w:r w:rsidRPr="00694AB4">
        <w:rPr>
          <w:rFonts w:ascii="Arial" w:hAnsi="Arial" w:cs="Arial"/>
          <w:sz w:val="20"/>
          <w:szCs w:val="20"/>
        </w:rPr>
        <w:t>60 záblesků/min dle Leteckého předpisu L14). Bude zajištěno stínění světel ze strany a omezení viditelnosti pouze seshora. Nebude použito stálé, rychle pulzující červené světlo nebo široce rozptýlené světlo.</w:t>
      </w:r>
    </w:p>
    <w:p w14:paraId="7586C1B3" w14:textId="4E69B8BF" w:rsidR="0019629F" w:rsidRPr="00694AB4" w:rsidRDefault="0019629F" w:rsidP="00A04ECB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  <w:lang w:val="cs"/>
        </w:rPr>
      </w:pPr>
      <w:r w:rsidRPr="4C23EE75">
        <w:rPr>
          <w:rFonts w:ascii="Arial" w:hAnsi="Arial" w:cs="Arial"/>
          <w:sz w:val="20"/>
          <w:szCs w:val="20"/>
          <w:lang w:val="cs"/>
        </w:rPr>
        <w:t>Další technická infrastruktura OZE nebude mít trvalé osvětlení (např. areály bateriových úložišť). Osvětlení bude využíváno pouze v případě údržby zařízení nebo je nutné minimalizovat dobu osvitu venkovních prostor, např. využití čidla pohybu. Nutno vyloučit UV spektrum, minimalizace intenzity osvětlení. Směřování k červené barvě spektra, která má menší negativní vliv na hmyz a další živočichy. Omezení úhlu osvitu jen na 100°.</w:t>
      </w:r>
    </w:p>
    <w:p w14:paraId="5C1DBB53" w14:textId="23857A6A" w:rsidR="67180C21" w:rsidRPr="00A66526" w:rsidRDefault="67180C21" w:rsidP="4C23EE75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eastAsia="Arial" w:hAnsi="Arial" w:cs="Arial"/>
          <w:sz w:val="20"/>
          <w:szCs w:val="20"/>
          <w:lang w:val="cs"/>
        </w:rPr>
      </w:pPr>
      <w:r w:rsidRPr="00A66526">
        <w:rPr>
          <w:rFonts w:ascii="Arial" w:eastAsia="Arial" w:hAnsi="Arial" w:cs="Arial"/>
          <w:sz w:val="20"/>
          <w:szCs w:val="20"/>
          <w:lang w:val="cs"/>
        </w:rPr>
        <w:t xml:space="preserve">Údolní nivy drobných toků jsou významnými krajinnými prvky typu údolní niva, na který jsou vázány výskyty zachovaných přírodních biotopů. </w:t>
      </w:r>
      <w:r w:rsidR="56C59A02" w:rsidRPr="00A66526">
        <w:rPr>
          <w:rFonts w:ascii="Arial" w:eastAsia="Arial" w:hAnsi="Arial" w:cs="Arial"/>
          <w:sz w:val="20"/>
          <w:szCs w:val="20"/>
          <w:lang w:val="cs"/>
        </w:rPr>
        <w:t>Jedná se o nivu Křenického potoka včetně vlhké louky</w:t>
      </w:r>
      <w:r w:rsidR="03F2E3F9" w:rsidRPr="00A66526">
        <w:rPr>
          <w:rFonts w:ascii="Arial" w:eastAsia="Arial" w:hAnsi="Arial" w:cs="Arial"/>
          <w:sz w:val="20"/>
          <w:szCs w:val="20"/>
          <w:lang w:val="cs"/>
        </w:rPr>
        <w:t xml:space="preserve"> cca 0,8 km SV od rybníka Bítovčice.</w:t>
      </w:r>
      <w:r w:rsidR="56C59A02" w:rsidRPr="00A66526">
        <w:rPr>
          <w:rFonts w:ascii="Arial" w:eastAsia="Arial" w:hAnsi="Arial" w:cs="Arial"/>
          <w:sz w:val="20"/>
          <w:szCs w:val="20"/>
          <w:lang w:val="cs"/>
        </w:rPr>
        <w:t xml:space="preserve"> </w:t>
      </w:r>
      <w:r w:rsidRPr="00A66526">
        <w:rPr>
          <w:rFonts w:ascii="Arial" w:eastAsia="Arial" w:hAnsi="Arial" w:cs="Arial"/>
          <w:sz w:val="20"/>
          <w:szCs w:val="20"/>
          <w:lang w:val="cs"/>
        </w:rPr>
        <w:t>Zásah do</w:t>
      </w:r>
      <w:r w:rsidR="00146395">
        <w:rPr>
          <w:rFonts w:ascii="Arial" w:eastAsia="Arial" w:hAnsi="Arial" w:cs="Arial"/>
          <w:sz w:val="20"/>
          <w:szCs w:val="20"/>
          <w:lang w:val="cs"/>
        </w:rPr>
        <w:t> </w:t>
      </w:r>
      <w:r w:rsidRPr="00A66526">
        <w:rPr>
          <w:rFonts w:ascii="Arial" w:eastAsia="Arial" w:hAnsi="Arial" w:cs="Arial"/>
          <w:sz w:val="20"/>
          <w:szCs w:val="20"/>
          <w:lang w:val="cs"/>
        </w:rPr>
        <w:t>těchto ploch musí být minimalizován následujícími způsoby:</w:t>
      </w:r>
    </w:p>
    <w:p w14:paraId="038DCB11" w14:textId="32C8E7C5" w:rsidR="3A2B2004" w:rsidRPr="00A66526" w:rsidRDefault="3A2B2004" w:rsidP="00A92FA0">
      <w:pPr>
        <w:pStyle w:val="Odstavecseseznamem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ascii="Arial" w:eastAsia="Arial" w:hAnsi="Arial" w:cs="Arial"/>
          <w:sz w:val="20"/>
          <w:szCs w:val="20"/>
          <w:lang w:val="cs"/>
        </w:rPr>
      </w:pPr>
      <w:r w:rsidRPr="00A66526">
        <w:rPr>
          <w:rFonts w:ascii="Arial" w:eastAsia="Arial" w:hAnsi="Arial" w:cs="Arial"/>
          <w:sz w:val="20"/>
          <w:szCs w:val="20"/>
          <w:lang w:val="cs"/>
        </w:rPr>
        <w:lastRenderedPageBreak/>
        <w:t xml:space="preserve">Záměry OZE a související infrastruktury budou umisťovány mimo </w:t>
      </w:r>
      <w:r w:rsidR="00146395">
        <w:rPr>
          <w:rFonts w:ascii="Arial" w:eastAsia="Arial" w:hAnsi="Arial" w:cs="Arial"/>
          <w:sz w:val="20"/>
          <w:szCs w:val="20"/>
          <w:lang w:val="cs"/>
        </w:rPr>
        <w:t xml:space="preserve">přítomné </w:t>
      </w:r>
      <w:r w:rsidRPr="00A66526">
        <w:rPr>
          <w:rFonts w:ascii="Arial" w:eastAsia="Arial" w:hAnsi="Arial" w:cs="Arial"/>
          <w:sz w:val="20"/>
          <w:szCs w:val="20"/>
          <w:lang w:val="cs"/>
        </w:rPr>
        <w:t>přírodní biotopy vyjma nezbytných křížení liniové dopravní a technické infrastruktury.</w:t>
      </w:r>
    </w:p>
    <w:p w14:paraId="70C19E7E" w14:textId="4FBA60EE" w:rsidR="0019629F" w:rsidRPr="00694AB4" w:rsidRDefault="0052143A" w:rsidP="6A4454EA">
      <w:pPr>
        <w:pStyle w:val="Odstavecseseznamem"/>
        <w:numPr>
          <w:ilvl w:val="0"/>
          <w:numId w:val="1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52143A">
        <w:rPr>
          <w:rFonts w:ascii="Arial" w:hAnsi="Arial" w:cs="Arial"/>
          <w:sz w:val="20"/>
          <w:szCs w:val="20"/>
        </w:rPr>
        <w:t xml:space="preserve">Záměry OZE a související infrastruktury budou umisťovány mimo drobnou krajinnou zeleň (liniová zeleň, plošná zeleň do 0,5 ha) tvořící hodnotnou mozaiku krajiny, vyjma nezbytných křížení liniové dopravní a technické infrastruktury. </w:t>
      </w:r>
      <w:r w:rsidR="0005583B" w:rsidRPr="0005583B">
        <w:rPr>
          <w:rFonts w:ascii="Arial" w:hAnsi="Arial" w:cs="Arial"/>
          <w:sz w:val="20"/>
          <w:szCs w:val="20"/>
        </w:rPr>
        <w:t>Případné zničení či zásadní ovlivnění přítomných přírodních biotopů musí být kompenzováno</w:t>
      </w:r>
      <w:r w:rsidRPr="0052143A">
        <w:rPr>
          <w:rFonts w:ascii="Arial" w:hAnsi="Arial" w:cs="Arial"/>
          <w:sz w:val="20"/>
          <w:szCs w:val="20"/>
        </w:rPr>
        <w:t xml:space="preserve"> novými výsadbami. Plochy nových výsadeb musí odpovídat alespoň 1,5násobku původní rozlohy a plochy dřevin musí být umístěny ve vzdálenosti minimálně 300 m od paty stožáru nejbližší VTE.</w:t>
      </w:r>
    </w:p>
    <w:p w14:paraId="439E4CA4" w14:textId="7A6B3401" w:rsidR="0077457A" w:rsidRPr="00713C90" w:rsidRDefault="5E3F0018" w:rsidP="00713C90">
      <w:pPr>
        <w:pStyle w:val="Odstavecseseznamem"/>
        <w:numPr>
          <w:ilvl w:val="0"/>
          <w:numId w:val="1"/>
        </w:numPr>
        <w:spacing w:line="276" w:lineRule="auto"/>
        <w:ind w:left="1208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694AB4">
        <w:rPr>
          <w:rFonts w:ascii="Arial" w:hAnsi="Arial" w:cs="Arial"/>
          <w:sz w:val="20"/>
          <w:szCs w:val="20"/>
        </w:rPr>
        <w:t xml:space="preserve">Kácení dřevin na lesních </w:t>
      </w:r>
      <w:r w:rsidR="7F73616B" w:rsidRPr="00694AB4">
        <w:rPr>
          <w:rFonts w:ascii="Arial" w:hAnsi="Arial" w:cs="Arial"/>
          <w:sz w:val="20"/>
          <w:szCs w:val="20"/>
        </w:rPr>
        <w:t xml:space="preserve">i nelesních </w:t>
      </w:r>
      <w:r w:rsidRPr="00694AB4">
        <w:rPr>
          <w:rFonts w:ascii="Arial" w:hAnsi="Arial" w:cs="Arial"/>
          <w:sz w:val="20"/>
          <w:szCs w:val="20"/>
        </w:rPr>
        <w:t xml:space="preserve">pozemcích pro potřeby umístění záměrů </w:t>
      </w:r>
      <w:r w:rsidR="6FDF62A9" w:rsidRPr="00694AB4">
        <w:rPr>
          <w:rFonts w:ascii="Arial" w:hAnsi="Arial" w:cs="Arial"/>
          <w:sz w:val="20"/>
          <w:szCs w:val="20"/>
        </w:rPr>
        <w:t>OZE a</w:t>
      </w:r>
      <w:r w:rsidR="00D05929">
        <w:rPr>
          <w:rFonts w:ascii="Arial" w:hAnsi="Arial" w:cs="Arial"/>
          <w:sz w:val="20"/>
          <w:szCs w:val="20"/>
        </w:rPr>
        <w:t> </w:t>
      </w:r>
      <w:r w:rsidR="6FDF62A9" w:rsidRPr="00694AB4">
        <w:rPr>
          <w:rFonts w:ascii="Arial" w:hAnsi="Arial" w:cs="Arial"/>
          <w:sz w:val="20"/>
          <w:szCs w:val="20"/>
        </w:rPr>
        <w:t>související infrastruktury</w:t>
      </w:r>
      <w:r w:rsidRPr="00694AB4">
        <w:rPr>
          <w:rFonts w:ascii="Arial" w:hAnsi="Arial" w:cs="Arial"/>
          <w:sz w:val="20"/>
          <w:szCs w:val="20"/>
        </w:rPr>
        <w:t xml:space="preserve"> bude probíhat jen v období mimo hnízdění ptáků (tj. mimo březen‒červenec).</w:t>
      </w:r>
    </w:p>
    <w:p w14:paraId="43B25F88" w14:textId="7A27C5C1" w:rsidR="008864A5" w:rsidRPr="008864A5" w:rsidRDefault="008864A5" w:rsidP="008864A5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864A5">
        <w:rPr>
          <w:rFonts w:ascii="Arial" w:hAnsi="Arial" w:cs="Arial"/>
          <w:sz w:val="20"/>
          <w:szCs w:val="20"/>
        </w:rPr>
        <w:t>Zemědělskou půdu zařazenou do I. a II. třídy ochrany lze pro záměry VTE včetně souvisejících staveb odejmout pouze v technicky nezbytném rozsahu, a to tehdy, pokud žadatel prokáže, že umístění příslušné části záměru na půdách nižší třídy ochrany v rámci akcelerační oblasti není možné bez významného zvýšení dopadů na jiné chráněné veřejné zájmy, bez narušení bezpečnosti nebo bez ztráty funkčnosti záměru. Při</w:t>
      </w:r>
      <w:r>
        <w:rPr>
          <w:rFonts w:ascii="Arial" w:hAnsi="Arial" w:cs="Arial"/>
          <w:sz w:val="20"/>
          <w:szCs w:val="20"/>
        </w:rPr>
        <w:t> </w:t>
      </w:r>
      <w:r w:rsidRPr="008864A5">
        <w:rPr>
          <w:rFonts w:ascii="Arial" w:hAnsi="Arial" w:cs="Arial"/>
          <w:sz w:val="20"/>
          <w:szCs w:val="20"/>
        </w:rPr>
        <w:t xml:space="preserve">rovnocenných variantách umístění musí být vždy zvolena varianta s nižším dotčením kvalitnější zemědělské půdy. Tento požadavek se uplatní přiměřeně i při volbě mezi ostatními třídami ochrany ZPF. Celková plocha dlouhodobého nebo trvalého odnětí ZPF pro záměry OZE v celé akcelerační oblasti nepřekročí </w:t>
      </w:r>
      <w:r>
        <w:rPr>
          <w:rFonts w:ascii="Arial" w:hAnsi="Arial" w:cs="Arial"/>
          <w:sz w:val="20"/>
          <w:szCs w:val="20"/>
        </w:rPr>
        <w:t>1,88 </w:t>
      </w:r>
      <w:r w:rsidRPr="008864A5">
        <w:rPr>
          <w:rFonts w:ascii="Arial" w:hAnsi="Arial" w:cs="Arial"/>
          <w:sz w:val="20"/>
          <w:szCs w:val="20"/>
        </w:rPr>
        <w:t>ha.</w:t>
      </w:r>
    </w:p>
    <w:p w14:paraId="2D07B0AF" w14:textId="0300B9DE" w:rsidR="008864A5" w:rsidRPr="008864A5" w:rsidRDefault="008864A5" w:rsidP="008864A5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864A5">
        <w:rPr>
          <w:rFonts w:ascii="Arial" w:hAnsi="Arial" w:cs="Arial"/>
          <w:sz w:val="20"/>
          <w:szCs w:val="20"/>
        </w:rPr>
        <w:t>Zábor na pozemcích určených k plnění funkcí lesa bude minimalizován. Záměry pro</w:t>
      </w:r>
      <w:r>
        <w:rPr>
          <w:rFonts w:ascii="Arial" w:hAnsi="Arial" w:cs="Arial"/>
          <w:sz w:val="20"/>
          <w:szCs w:val="20"/>
        </w:rPr>
        <w:t> </w:t>
      </w:r>
      <w:r w:rsidRPr="008864A5">
        <w:rPr>
          <w:rFonts w:ascii="Arial" w:hAnsi="Arial" w:cs="Arial"/>
          <w:sz w:val="20"/>
          <w:szCs w:val="20"/>
        </w:rPr>
        <w:t>využití OZE a jejich infrastrukturu budované na pozemcích určených k plnění funkcí lesů umísťovat tak, aby byly přednostně využívány pozemky, u nichž je schopnost plnění funkcí lesa snížena (např. pozemky, které svojí povahou vylučují dlouhodobou existenci lesních porostů, tzv. bezlesí, nebo lesní pozemky s méně kvalitními lesními porosty). Obslužné komunikace budou na lesních pozemcích vedeny pouze v nezbytném rozsahu a přednostně tak, aby nevznikaly dopady v podobě fragmentace lesních celků. Zařízení určená pro skladování elektřiny budou umísťována přednostně mimo pozemky lesa ve</w:t>
      </w:r>
      <w:r>
        <w:rPr>
          <w:rFonts w:ascii="Arial" w:hAnsi="Arial" w:cs="Arial"/>
          <w:sz w:val="20"/>
          <w:szCs w:val="20"/>
        </w:rPr>
        <w:t> </w:t>
      </w:r>
      <w:r w:rsidRPr="008864A5">
        <w:rPr>
          <w:rFonts w:ascii="Arial" w:hAnsi="Arial" w:cs="Arial"/>
          <w:sz w:val="20"/>
          <w:szCs w:val="20"/>
        </w:rPr>
        <w:t>vzdálenosti minimálně 30 m od okraje lesa.</w:t>
      </w:r>
    </w:p>
    <w:p w14:paraId="1B11FFF8" w14:textId="1EFFEA1F" w:rsidR="008864A5" w:rsidRPr="008864A5" w:rsidRDefault="008864A5" w:rsidP="008864A5">
      <w:pPr>
        <w:pStyle w:val="Odstavecseseznamem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864A5">
        <w:rPr>
          <w:rFonts w:ascii="Arial" w:hAnsi="Arial" w:cs="Arial"/>
          <w:sz w:val="20"/>
          <w:szCs w:val="20"/>
        </w:rPr>
        <w:t>Výběr umístění VTE bude proveden s ohledem na potřebu minimalizace dopadů na</w:t>
      </w:r>
      <w:r>
        <w:rPr>
          <w:rFonts w:ascii="Arial" w:hAnsi="Arial" w:cs="Arial"/>
          <w:sz w:val="20"/>
          <w:szCs w:val="20"/>
        </w:rPr>
        <w:t> </w:t>
      </w:r>
      <w:r w:rsidRPr="008864A5">
        <w:rPr>
          <w:rFonts w:ascii="Arial" w:hAnsi="Arial" w:cs="Arial"/>
          <w:sz w:val="20"/>
          <w:szCs w:val="20"/>
        </w:rPr>
        <w:t>zvláště chráněné druhy rostlin a živočichů, přítomné přírodní biotopy a extrémní a</w:t>
      </w:r>
      <w:r>
        <w:rPr>
          <w:rFonts w:ascii="Arial" w:hAnsi="Arial" w:cs="Arial"/>
          <w:sz w:val="20"/>
          <w:szCs w:val="20"/>
        </w:rPr>
        <w:t> </w:t>
      </w:r>
      <w:r w:rsidRPr="008864A5">
        <w:rPr>
          <w:rFonts w:ascii="Arial" w:hAnsi="Arial" w:cs="Arial"/>
          <w:sz w:val="20"/>
          <w:szCs w:val="20"/>
        </w:rPr>
        <w:t>vodou ovlivněná lesní stanoviště v součinnosti s odborně způsobilou osobou s</w:t>
      </w:r>
      <w:r>
        <w:rPr>
          <w:rFonts w:ascii="Arial" w:hAnsi="Arial" w:cs="Arial"/>
          <w:sz w:val="20"/>
          <w:szCs w:val="20"/>
        </w:rPr>
        <w:t> </w:t>
      </w:r>
      <w:r w:rsidRPr="008864A5">
        <w:rPr>
          <w:rFonts w:ascii="Arial" w:hAnsi="Arial" w:cs="Arial"/>
          <w:sz w:val="20"/>
          <w:szCs w:val="20"/>
        </w:rPr>
        <w:t>vysokoškolským přírodovědným vzděláním a minimálně tříletou praxí v navrhování opatření (biologický dozor). Biologický dozor se podílí na přípravě opatření a dohledu na jejich provádění ve fázi přípravy a realizace záměru. V případě, kdy nelze dopady na zvláště chráněné rostliny a živočichy vyloučit, zajišťuje biologický dozor také, záchranný transfer jedinců dotčených druhů na vhodné místo odpovídající jejich ekologickým nárokům.</w:t>
      </w:r>
    </w:p>
    <w:p w14:paraId="1452ADF9" w14:textId="41E85758" w:rsidR="008864A5" w:rsidRPr="00694AB4" w:rsidRDefault="008864A5" w:rsidP="008864A5">
      <w:pPr>
        <w:pStyle w:val="Odstavecseseznamem"/>
        <w:numPr>
          <w:ilvl w:val="0"/>
          <w:numId w:val="1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8864A5">
        <w:rPr>
          <w:rFonts w:ascii="Arial" w:hAnsi="Arial" w:cs="Arial"/>
          <w:sz w:val="20"/>
          <w:szCs w:val="20"/>
        </w:rPr>
        <w:t>V ploše záměru OZE musí být během výstavby a 1 rok po provedení sledován výskyt invazních nepůvodních druhů, především druhů zařazených do seznamu invazních nepůvodních druhů s významným dopadem na Evropskou unii (tzv. „unijní seznam“). V</w:t>
      </w:r>
      <w:r>
        <w:rPr>
          <w:rFonts w:ascii="Arial" w:hAnsi="Arial" w:cs="Arial"/>
          <w:sz w:val="20"/>
          <w:szCs w:val="20"/>
        </w:rPr>
        <w:t> </w:t>
      </w:r>
      <w:r w:rsidRPr="008864A5">
        <w:rPr>
          <w:rFonts w:ascii="Arial" w:hAnsi="Arial" w:cs="Arial"/>
          <w:sz w:val="20"/>
          <w:szCs w:val="20"/>
        </w:rPr>
        <w:t>případě zjištěného výskytu invazního nepůvodního druhu, budou přijata opatření proti jeho šíření v rámci výstavby a provozu záměru a neodkladně přistoupeno k jeho likvidaci, při dodržování zásad regulace pro konkrétní druhy a upřesňujících podmínek z opatření obecné povahy vydávaných orgány ochrany přírody pro jednotlivé regiony ČR. V ostatních případech (kdy opatření obecné povahy nebudou v daném regionu vydána) postupuje investor podle dostupných odborných metodik, případně projedná postup s místně příslušným orgánem ochrany přírody.</w:t>
      </w:r>
    </w:p>
    <w:bookmarkEnd w:id="7"/>
    <w:p w14:paraId="7C3B9E2E" w14:textId="2A1EBD0D" w:rsidR="00A14AE1" w:rsidRPr="00D05929" w:rsidRDefault="00406D1B" w:rsidP="00A6265D">
      <w:pPr>
        <w:pStyle w:val="Odstavecseseznamem"/>
        <w:keepNext/>
        <w:numPr>
          <w:ilvl w:val="0"/>
          <w:numId w:val="26"/>
        </w:numPr>
        <w:spacing w:before="240" w:after="120" w:line="276" w:lineRule="auto"/>
        <w:ind w:left="0" w:firstLine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D05929"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2C3ACD4E" w14:textId="4DC1958B" w:rsidR="00A02EE3" w:rsidRPr="00694AB4" w:rsidRDefault="002C47B7" w:rsidP="6A4454EA">
      <w:pPr>
        <w:pStyle w:val="paragraph"/>
        <w:numPr>
          <w:ilvl w:val="0"/>
          <w:numId w:val="12"/>
        </w:numPr>
        <w:spacing w:before="0" w:beforeAutospacing="0" w:after="0" w:afterAutospacing="0" w:line="276" w:lineRule="auto"/>
        <w:ind w:left="1208" w:hanging="357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bookmarkStart w:id="8" w:name="_Hlk214038899"/>
      <w:r>
        <w:rPr>
          <w:rStyle w:val="normaltextrun"/>
          <w:rFonts w:ascii="Arial" w:hAnsi="Arial" w:cs="Arial"/>
          <w:color w:val="000000" w:themeColor="text1"/>
          <w:sz w:val="20"/>
          <w:szCs w:val="20"/>
        </w:rPr>
        <w:t>Podmínka nebyla stanovena</w:t>
      </w:r>
      <w:r w:rsidR="1155A416" w:rsidRPr="00694AB4">
        <w:rPr>
          <w:rStyle w:val="normaltextrun"/>
          <w:rFonts w:ascii="Arial" w:hAnsi="Arial" w:cs="Arial"/>
          <w:color w:val="000000" w:themeColor="text1"/>
          <w:sz w:val="20"/>
          <w:szCs w:val="20"/>
        </w:rPr>
        <w:t>.</w:t>
      </w:r>
    </w:p>
    <w:p w14:paraId="41BC61AF" w14:textId="1692C200" w:rsidR="00B5160E" w:rsidRPr="00694AB4" w:rsidRDefault="00B5160E" w:rsidP="00A04ECB">
      <w:pPr>
        <w:pStyle w:val="paragraph"/>
        <w:numPr>
          <w:ilvl w:val="0"/>
          <w:numId w:val="12"/>
        </w:numPr>
        <w:spacing w:before="0" w:beforeAutospacing="0" w:after="0" w:afterAutospacing="0" w:line="276" w:lineRule="auto"/>
        <w:ind w:left="1208" w:hanging="357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694AB4">
        <w:rPr>
          <w:rStyle w:val="eop"/>
          <w:rFonts w:ascii="Arial" w:hAnsi="Arial" w:cs="Arial"/>
          <w:sz w:val="20"/>
          <w:szCs w:val="20"/>
        </w:rPr>
        <w:lastRenderedPageBreak/>
        <w:t>Pro omezení kolizí ptáků</w:t>
      </w:r>
      <w:r w:rsidR="006449E4">
        <w:rPr>
          <w:rStyle w:val="eop"/>
          <w:rFonts w:ascii="Arial" w:hAnsi="Arial" w:cs="Arial"/>
          <w:sz w:val="20"/>
          <w:szCs w:val="20"/>
        </w:rPr>
        <w:t xml:space="preserve"> a netopýrů</w:t>
      </w:r>
      <w:r w:rsidRPr="00694AB4">
        <w:rPr>
          <w:rStyle w:val="eop"/>
          <w:rFonts w:ascii="Arial" w:hAnsi="Arial" w:cs="Arial"/>
          <w:sz w:val="20"/>
          <w:szCs w:val="20"/>
        </w:rPr>
        <w:t xml:space="preserve"> s lopatkami rotoru budou využity odpuzovače (optické, akustické, nebo elektromagnetické), které odrazují zájmové druhy létat do</w:t>
      </w:r>
      <w:r w:rsidR="002C47B7">
        <w:rPr>
          <w:rStyle w:val="eop"/>
          <w:rFonts w:ascii="Arial" w:hAnsi="Arial" w:cs="Arial"/>
          <w:sz w:val="20"/>
          <w:szCs w:val="20"/>
        </w:rPr>
        <w:t> </w:t>
      </w:r>
      <w:r w:rsidRPr="00694AB4">
        <w:rPr>
          <w:rStyle w:val="eop"/>
          <w:rFonts w:ascii="Arial" w:hAnsi="Arial" w:cs="Arial"/>
          <w:sz w:val="20"/>
          <w:szCs w:val="20"/>
        </w:rPr>
        <w:t>bezprostředního okolí VTE, nebo detekční systémy (akustické, optické, termovize), které v případě detekce zájmového druhu v blízkosti VTE zpomalí, popř. zastaví rotor VTE. Budou použita vždy nejúčinnější dostupná a ověřená zařízení.</w:t>
      </w:r>
    </w:p>
    <w:p w14:paraId="09963817" w14:textId="19D8B431" w:rsidR="00670DFB" w:rsidRPr="00694AB4" w:rsidRDefault="00670DFB" w:rsidP="00A04ECB">
      <w:pPr>
        <w:pStyle w:val="Odstavecseseznamem"/>
        <w:numPr>
          <w:ilvl w:val="0"/>
          <w:numId w:val="12"/>
        </w:numPr>
        <w:spacing w:line="276" w:lineRule="auto"/>
        <w:ind w:left="1208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694AB4">
        <w:rPr>
          <w:rFonts w:ascii="Arial" w:hAnsi="Arial" w:cs="Arial"/>
          <w:sz w:val="20"/>
          <w:szCs w:val="20"/>
        </w:rPr>
        <w:t xml:space="preserve">Provozovatel větrné elektrárny je povinen zajistit monitoring mortality ptáků po dobu tří let od uvedení větrné elektrárny do provozu. Monitoring musí být prováděn v průběhu celého roku, a to pouze odborně způsobilým subjektem. Způsob monitoringu a jeho vyhodnocení musí být provedeno v souladu s dostupnými doporučeními České společnosti ornitologické a v případě jejich absence podle obecně uznávaných mezinárodních standardů pro monitoring mortality ptáků na větrných elektrárnách (např. </w:t>
      </w:r>
      <w:proofErr w:type="spellStart"/>
      <w:r w:rsidRPr="00694AB4">
        <w:rPr>
          <w:rFonts w:ascii="Arial" w:hAnsi="Arial" w:cs="Arial"/>
          <w:sz w:val="20"/>
          <w:szCs w:val="20"/>
        </w:rPr>
        <w:t>BirdLife</w:t>
      </w:r>
      <w:proofErr w:type="spellEnd"/>
      <w:r w:rsidRPr="00694AB4">
        <w:rPr>
          <w:rFonts w:ascii="Arial" w:hAnsi="Arial" w:cs="Arial"/>
          <w:sz w:val="20"/>
          <w:szCs w:val="20"/>
        </w:rPr>
        <w:t xml:space="preserve"> International či obdobné metodiky používané v členských státech EU). Na základě výsledků monitoringu a posouzení rizikovosti VTE budou </w:t>
      </w:r>
      <w:r w:rsidR="006449E4">
        <w:rPr>
          <w:rFonts w:ascii="Arial" w:hAnsi="Arial" w:cs="Arial"/>
          <w:sz w:val="20"/>
          <w:szCs w:val="20"/>
        </w:rPr>
        <w:t>optimalizována či doplněna</w:t>
      </w:r>
      <w:r w:rsidR="006449E4" w:rsidRPr="00694AB4">
        <w:rPr>
          <w:rFonts w:ascii="Arial" w:hAnsi="Arial" w:cs="Arial"/>
          <w:sz w:val="20"/>
          <w:szCs w:val="20"/>
        </w:rPr>
        <w:t xml:space="preserve"> </w:t>
      </w:r>
      <w:r w:rsidRPr="00694AB4">
        <w:rPr>
          <w:rFonts w:ascii="Arial" w:hAnsi="Arial" w:cs="Arial"/>
          <w:sz w:val="20"/>
          <w:szCs w:val="20"/>
        </w:rPr>
        <w:t>opatření, která minimalizují riziko zranění a úhynu ptáků. Použitá opatření musí mít věrohodně prokázanou funkčnost a účinnost v ochraně cílových druhů. Provozovatel je povinen zajistit pravidelnou kontrolu přijatých opatření, aby byla zajištěna jejich trvalá funkčnost a</w:t>
      </w:r>
      <w:r w:rsidR="003F0058">
        <w:rPr>
          <w:rFonts w:ascii="Arial" w:hAnsi="Arial" w:cs="Arial"/>
          <w:sz w:val="20"/>
          <w:szCs w:val="20"/>
        </w:rPr>
        <w:t> </w:t>
      </w:r>
      <w:r w:rsidRPr="00694AB4">
        <w:rPr>
          <w:rFonts w:ascii="Arial" w:hAnsi="Arial" w:cs="Arial"/>
          <w:sz w:val="20"/>
          <w:szCs w:val="20"/>
        </w:rPr>
        <w:t>účinnost. Provozovatel výsledky monitoringu a plánovaná opatření projedná s</w:t>
      </w:r>
      <w:r w:rsidR="003F0058">
        <w:rPr>
          <w:rFonts w:ascii="Arial" w:hAnsi="Arial" w:cs="Arial"/>
          <w:sz w:val="20"/>
          <w:szCs w:val="20"/>
        </w:rPr>
        <w:t> </w:t>
      </w:r>
      <w:r w:rsidRPr="00694AB4">
        <w:rPr>
          <w:rFonts w:ascii="Arial" w:hAnsi="Arial" w:cs="Arial"/>
          <w:sz w:val="20"/>
          <w:szCs w:val="20"/>
        </w:rPr>
        <w:t>příslušným orgánem státní správy na úseku ochrany přírody.</w:t>
      </w:r>
    </w:p>
    <w:p w14:paraId="62F2749D" w14:textId="5CDA59D0" w:rsidR="00670DFB" w:rsidRDefault="76BDEAAA" w:rsidP="00555AE9">
      <w:pPr>
        <w:pStyle w:val="Odstavecseseznamem"/>
        <w:numPr>
          <w:ilvl w:val="0"/>
          <w:numId w:val="12"/>
        </w:numPr>
        <w:spacing w:before="240" w:line="276" w:lineRule="auto"/>
        <w:ind w:left="1208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76BDEAAA">
        <w:rPr>
          <w:rFonts w:ascii="Arial" w:hAnsi="Arial" w:cs="Arial"/>
          <w:sz w:val="20"/>
          <w:szCs w:val="20"/>
        </w:rPr>
        <w:t>Provozovatel větrné elektrárny je povinen zajistit akustický monitoring letové aktivity netopýrů po dobu dvou let od uvedení větrné elektrárny do provozu. Monitoring musí být prováděn v období aktivity netopýrů podle následujících metodik (i) „Metodika posuzování vlivu výstavby a provozu větrných elektráren na netopýry“ (ČESON, 2012), (</w:t>
      </w:r>
      <w:proofErr w:type="spellStart"/>
      <w:r w:rsidRPr="76BDEAAA">
        <w:rPr>
          <w:rFonts w:ascii="Arial" w:hAnsi="Arial" w:cs="Arial"/>
          <w:sz w:val="20"/>
          <w:szCs w:val="20"/>
        </w:rPr>
        <w:t>ii</w:t>
      </w:r>
      <w:proofErr w:type="spellEnd"/>
      <w:r w:rsidRPr="76BDEAAA">
        <w:rPr>
          <w:rFonts w:ascii="Arial" w:hAnsi="Arial" w:cs="Arial"/>
          <w:sz w:val="20"/>
          <w:szCs w:val="20"/>
        </w:rPr>
        <w:t>) metodického doporučení společnosti ČESON (v přípravě). Realizace monitoringu musí být zajištěna pouze odborně způsobilým subjektem s prokazatelnými zkušenostmi v oblasti monitoringu netopýrů. Monitoring bude zaměřen na detekci letové aktivity rizikových druhů netopýrů, tj. především na netopýra velkého (</w:t>
      </w:r>
      <w:proofErr w:type="spellStart"/>
      <w:r w:rsidRPr="76BDEAAA">
        <w:rPr>
          <w:rFonts w:ascii="Arial" w:hAnsi="Arial" w:cs="Arial"/>
          <w:i/>
          <w:iCs/>
          <w:sz w:val="20"/>
          <w:szCs w:val="20"/>
        </w:rPr>
        <w:t>Myotis</w:t>
      </w:r>
      <w:proofErr w:type="spellEnd"/>
      <w:r w:rsidRPr="76BDEAAA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76BDEAAA">
        <w:rPr>
          <w:rFonts w:ascii="Arial" w:hAnsi="Arial" w:cs="Arial"/>
          <w:i/>
          <w:iCs/>
          <w:sz w:val="20"/>
          <w:szCs w:val="20"/>
        </w:rPr>
        <w:t>myotis</w:t>
      </w:r>
      <w:proofErr w:type="spellEnd"/>
      <w:r w:rsidRPr="76BDEAAA">
        <w:rPr>
          <w:rFonts w:ascii="Arial" w:hAnsi="Arial" w:cs="Arial"/>
          <w:sz w:val="20"/>
          <w:szCs w:val="20"/>
        </w:rPr>
        <w:t>), netopýra hvízdavého (</w:t>
      </w:r>
      <w:proofErr w:type="spellStart"/>
      <w:r w:rsidRPr="76BDEAAA">
        <w:rPr>
          <w:rFonts w:ascii="Arial" w:hAnsi="Arial" w:cs="Arial"/>
          <w:i/>
          <w:iCs/>
          <w:sz w:val="20"/>
          <w:szCs w:val="20"/>
        </w:rPr>
        <w:t>Pipistrellus</w:t>
      </w:r>
      <w:proofErr w:type="spellEnd"/>
      <w:r w:rsidRPr="76BDEAAA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76BDEAAA">
        <w:rPr>
          <w:rFonts w:ascii="Arial" w:hAnsi="Arial" w:cs="Arial"/>
          <w:i/>
          <w:iCs/>
          <w:sz w:val="20"/>
          <w:szCs w:val="20"/>
        </w:rPr>
        <w:t>pipistrellus</w:t>
      </w:r>
      <w:proofErr w:type="spellEnd"/>
      <w:r w:rsidRPr="76BDEAAA">
        <w:rPr>
          <w:rFonts w:ascii="Arial" w:hAnsi="Arial" w:cs="Arial"/>
          <w:sz w:val="20"/>
          <w:szCs w:val="20"/>
        </w:rPr>
        <w:t>), netopýra nejmenšího (</w:t>
      </w:r>
      <w:proofErr w:type="spellStart"/>
      <w:r w:rsidRPr="76BDEAAA">
        <w:rPr>
          <w:rFonts w:ascii="Arial" w:hAnsi="Arial" w:cs="Arial"/>
          <w:i/>
          <w:iCs/>
          <w:sz w:val="20"/>
          <w:szCs w:val="20"/>
        </w:rPr>
        <w:t>Pipistrellus</w:t>
      </w:r>
      <w:proofErr w:type="spellEnd"/>
      <w:r w:rsidRPr="76BDEAAA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76BDEAAA">
        <w:rPr>
          <w:rFonts w:ascii="Arial" w:hAnsi="Arial" w:cs="Arial"/>
          <w:i/>
          <w:iCs/>
          <w:sz w:val="20"/>
          <w:szCs w:val="20"/>
        </w:rPr>
        <w:t>pygmaeus</w:t>
      </w:r>
      <w:proofErr w:type="spellEnd"/>
      <w:r w:rsidRPr="76BDEAAA">
        <w:rPr>
          <w:rFonts w:ascii="Arial" w:hAnsi="Arial" w:cs="Arial"/>
          <w:sz w:val="20"/>
          <w:szCs w:val="20"/>
        </w:rPr>
        <w:t>), netopýra rezavého (</w:t>
      </w:r>
      <w:proofErr w:type="spellStart"/>
      <w:r w:rsidRPr="76BDEAAA">
        <w:rPr>
          <w:rFonts w:ascii="Arial" w:hAnsi="Arial" w:cs="Arial"/>
          <w:i/>
          <w:iCs/>
          <w:sz w:val="20"/>
          <w:szCs w:val="20"/>
        </w:rPr>
        <w:t>Nyctalus</w:t>
      </w:r>
      <w:proofErr w:type="spellEnd"/>
      <w:r w:rsidRPr="76BDEAAA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76BDEAAA">
        <w:rPr>
          <w:rFonts w:ascii="Arial" w:hAnsi="Arial" w:cs="Arial"/>
          <w:i/>
          <w:iCs/>
          <w:sz w:val="20"/>
          <w:szCs w:val="20"/>
        </w:rPr>
        <w:t>noctula</w:t>
      </w:r>
      <w:proofErr w:type="spellEnd"/>
      <w:r w:rsidRPr="76BDEAAA">
        <w:rPr>
          <w:rFonts w:ascii="Arial" w:hAnsi="Arial" w:cs="Arial"/>
          <w:sz w:val="20"/>
          <w:szCs w:val="20"/>
        </w:rPr>
        <w:t xml:space="preserve">) a netopýra </w:t>
      </w:r>
      <w:r w:rsidRPr="002C47B7">
        <w:rPr>
          <w:rFonts w:ascii="Arial" w:hAnsi="Arial" w:cs="Arial"/>
          <w:sz w:val="20"/>
          <w:szCs w:val="20"/>
        </w:rPr>
        <w:t>vousatého (</w:t>
      </w:r>
      <w:proofErr w:type="spellStart"/>
      <w:r w:rsidRPr="002C47B7">
        <w:rPr>
          <w:rFonts w:ascii="Arial" w:hAnsi="Arial" w:cs="Arial"/>
          <w:i/>
          <w:iCs/>
          <w:sz w:val="20"/>
          <w:szCs w:val="20"/>
        </w:rPr>
        <w:t>Myotis</w:t>
      </w:r>
      <w:proofErr w:type="spellEnd"/>
      <w:r w:rsidRPr="002C47B7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2C47B7">
        <w:rPr>
          <w:rFonts w:ascii="Arial" w:hAnsi="Arial" w:cs="Arial"/>
          <w:i/>
          <w:iCs/>
          <w:sz w:val="20"/>
          <w:szCs w:val="20"/>
        </w:rPr>
        <w:t>mystacinus</w:t>
      </w:r>
      <w:proofErr w:type="spellEnd"/>
      <w:r w:rsidRPr="002C47B7">
        <w:rPr>
          <w:rFonts w:ascii="Arial" w:hAnsi="Arial" w:cs="Arial"/>
          <w:sz w:val="20"/>
          <w:szCs w:val="20"/>
        </w:rPr>
        <w:t xml:space="preserve">). Vyhodnocení monitoringu musí být provedeno v souladu s metodickým doporučením společnosti ČESON (v přípravě). </w:t>
      </w:r>
      <w:r w:rsidR="00670DFB" w:rsidRPr="002C47B7">
        <w:rPr>
          <w:rFonts w:ascii="Arial" w:hAnsi="Arial" w:cs="Arial"/>
          <w:sz w:val="20"/>
          <w:szCs w:val="20"/>
        </w:rPr>
        <w:t xml:space="preserve">Na základě výsledků monitoringu a vyhodnocení rizikovosti větrné elektrárny budou následně případně </w:t>
      </w:r>
      <w:r w:rsidR="002C47B7">
        <w:rPr>
          <w:rFonts w:ascii="Arial" w:hAnsi="Arial" w:cs="Arial"/>
          <w:sz w:val="20"/>
          <w:szCs w:val="20"/>
        </w:rPr>
        <w:t>optimalizována či doplněna</w:t>
      </w:r>
      <w:r w:rsidR="002C47B7" w:rsidRPr="002C47B7">
        <w:rPr>
          <w:rFonts w:ascii="Arial" w:hAnsi="Arial" w:cs="Arial"/>
          <w:sz w:val="20"/>
          <w:szCs w:val="20"/>
        </w:rPr>
        <w:t xml:space="preserve"> </w:t>
      </w:r>
      <w:r w:rsidR="00670DFB" w:rsidRPr="002C47B7">
        <w:rPr>
          <w:rFonts w:ascii="Arial" w:hAnsi="Arial" w:cs="Arial"/>
          <w:sz w:val="20"/>
          <w:szCs w:val="20"/>
        </w:rPr>
        <w:t xml:space="preserve">opatření pro provoz zařízení, která minimalizují </w:t>
      </w:r>
      <w:r w:rsidR="00670DFB" w:rsidRPr="76BDEAAA">
        <w:rPr>
          <w:rFonts w:ascii="Arial" w:hAnsi="Arial" w:cs="Arial"/>
          <w:sz w:val="20"/>
          <w:szCs w:val="20"/>
        </w:rPr>
        <w:t xml:space="preserve">riziko zranění a úhynu cílových druhů netopýrů. Tato opatření </w:t>
      </w:r>
      <w:r w:rsidR="002C47B7">
        <w:rPr>
          <w:rFonts w:ascii="Arial" w:hAnsi="Arial" w:cs="Arial"/>
          <w:sz w:val="20"/>
          <w:szCs w:val="20"/>
        </w:rPr>
        <w:t xml:space="preserve">pro provoz </w:t>
      </w:r>
      <w:r w:rsidR="00670DFB" w:rsidRPr="76BDEAAA">
        <w:rPr>
          <w:rFonts w:ascii="Arial" w:hAnsi="Arial" w:cs="Arial"/>
          <w:sz w:val="20"/>
          <w:szCs w:val="20"/>
        </w:rPr>
        <w:t>mohou zahrnovat zejména dočasné omezení provozu, včetně vypínání větrné elektrárny v</w:t>
      </w:r>
      <w:r w:rsidR="002C47B7">
        <w:rPr>
          <w:rFonts w:ascii="Arial" w:hAnsi="Arial" w:cs="Arial"/>
          <w:sz w:val="20"/>
          <w:szCs w:val="20"/>
        </w:rPr>
        <w:t> </w:t>
      </w:r>
      <w:r w:rsidR="00670DFB" w:rsidRPr="76BDEAAA">
        <w:rPr>
          <w:rFonts w:ascii="Arial" w:hAnsi="Arial" w:cs="Arial"/>
          <w:sz w:val="20"/>
          <w:szCs w:val="20"/>
        </w:rPr>
        <w:t>rizikových obdobích roku v návaznosti na teplotu prostředí a rychlost větru. Dále se může jednat o</w:t>
      </w:r>
      <w:r w:rsidR="002C47B7">
        <w:rPr>
          <w:rFonts w:ascii="Arial" w:hAnsi="Arial" w:cs="Arial"/>
          <w:sz w:val="20"/>
          <w:szCs w:val="20"/>
        </w:rPr>
        <w:t> optimalizaci funkce</w:t>
      </w:r>
      <w:r w:rsidR="00670DFB" w:rsidRPr="76BDEAAA">
        <w:rPr>
          <w:rFonts w:ascii="Arial" w:hAnsi="Arial" w:cs="Arial"/>
          <w:sz w:val="20"/>
          <w:szCs w:val="20"/>
        </w:rPr>
        <w:t xml:space="preserve"> technických ochranných opatření, např. ultrazvukového odpuzovače</w:t>
      </w:r>
      <w:r w:rsidR="002C47B7">
        <w:rPr>
          <w:rFonts w:ascii="Arial" w:hAnsi="Arial" w:cs="Arial"/>
          <w:sz w:val="20"/>
          <w:szCs w:val="20"/>
        </w:rPr>
        <w:t xml:space="preserve"> či detekčních systémů, které budou mít prokazatelnou</w:t>
      </w:r>
      <w:r w:rsidR="00670DFB" w:rsidRPr="76BDEAAA">
        <w:rPr>
          <w:rFonts w:ascii="Arial" w:hAnsi="Arial" w:cs="Arial"/>
          <w:sz w:val="20"/>
          <w:szCs w:val="20"/>
        </w:rPr>
        <w:t xml:space="preserve"> účinnost pro rizikové druhy netopýrů. Provozovatel je povinen zajistit, aby veškerá opatření byla pravidelně kontrolována a byla tak zajištěna jejich funkčnost a účinnost. Provozovatel výsledky monitoringu a opatření projedná s příslušným orgánem státní správy na úseku ochrany přírody.</w:t>
      </w:r>
    </w:p>
    <w:bookmarkEnd w:id="8"/>
    <w:p w14:paraId="6EC3E947" w14:textId="2F0142C5" w:rsidR="006D351E" w:rsidRPr="002C47B7" w:rsidRDefault="006D351E" w:rsidP="002C47B7">
      <w:pPr>
        <w:spacing w:before="240" w:line="276" w:lineRule="auto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2C47B7">
        <w:rPr>
          <w:rFonts w:ascii="Arial" w:hAnsi="Arial" w:cs="Arial"/>
          <w:b/>
          <w:bCs/>
          <w:sz w:val="20"/>
          <w:szCs w:val="20"/>
        </w:rPr>
        <w:t>Příloha: Grafická část územního opatření – Výkres s vyznačením akcelerační oblasti, území, pro něž se územní opatření vydává.</w:t>
      </w:r>
    </w:p>
    <w:sectPr w:rsidR="006D351E" w:rsidRPr="002C47B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B708D" w14:textId="77777777" w:rsidR="0036140E" w:rsidRDefault="0036140E" w:rsidP="00F25F3B">
      <w:r>
        <w:separator/>
      </w:r>
    </w:p>
  </w:endnote>
  <w:endnote w:type="continuationSeparator" w:id="0">
    <w:p w14:paraId="2734928D" w14:textId="77777777" w:rsidR="0036140E" w:rsidRDefault="0036140E" w:rsidP="00F25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278865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ACEA95D" w14:textId="7E24400E" w:rsidR="00F25F3B" w:rsidRPr="00993471" w:rsidRDefault="00F25F3B" w:rsidP="00993471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CE40E8">
          <w:rPr>
            <w:rFonts w:ascii="Arial" w:hAnsi="Arial" w:cs="Arial"/>
            <w:sz w:val="20"/>
            <w:szCs w:val="20"/>
          </w:rPr>
          <w:fldChar w:fldCharType="begin"/>
        </w:r>
        <w:r w:rsidRPr="00CE40E8">
          <w:rPr>
            <w:rFonts w:ascii="Arial" w:hAnsi="Arial" w:cs="Arial"/>
            <w:sz w:val="20"/>
            <w:szCs w:val="20"/>
          </w:rPr>
          <w:instrText>PAGE   \* MERGEFORMAT</w:instrText>
        </w:r>
        <w:r w:rsidRPr="00CE40E8">
          <w:rPr>
            <w:rFonts w:ascii="Arial" w:hAnsi="Arial" w:cs="Arial"/>
            <w:sz w:val="20"/>
            <w:szCs w:val="20"/>
          </w:rPr>
          <w:fldChar w:fldCharType="separate"/>
        </w:r>
        <w:r w:rsidRPr="00CE40E8">
          <w:rPr>
            <w:rFonts w:ascii="Arial" w:hAnsi="Arial" w:cs="Arial"/>
            <w:sz w:val="20"/>
            <w:szCs w:val="20"/>
          </w:rPr>
          <w:t>2</w:t>
        </w:r>
        <w:r w:rsidRPr="00CE40E8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F78EC" w14:textId="77777777" w:rsidR="0036140E" w:rsidRDefault="0036140E" w:rsidP="00F25F3B">
      <w:r>
        <w:separator/>
      </w:r>
    </w:p>
  </w:footnote>
  <w:footnote w:type="continuationSeparator" w:id="0">
    <w:p w14:paraId="2C9AD623" w14:textId="77777777" w:rsidR="0036140E" w:rsidRDefault="0036140E" w:rsidP="00F25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4" w15:restartNumberingAfterBreak="0">
    <w:nsid w:val="16200E88"/>
    <w:multiLevelType w:val="multilevel"/>
    <w:tmpl w:val="3CBC6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8FF2C73"/>
    <w:multiLevelType w:val="multilevel"/>
    <w:tmpl w:val="DA327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8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8012D"/>
    <w:multiLevelType w:val="hybridMultilevel"/>
    <w:tmpl w:val="804C6A70"/>
    <w:lvl w:ilvl="0" w:tplc="A4CE198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3" w15:restartNumberingAfterBreak="0">
    <w:nsid w:val="30CD6D86"/>
    <w:multiLevelType w:val="hybridMultilevel"/>
    <w:tmpl w:val="BBFAE78C"/>
    <w:lvl w:ilvl="0" w:tplc="39D88030">
      <w:start w:val="1"/>
      <w:numFmt w:val="lowerLetter"/>
      <w:lvlText w:val="%1)"/>
      <w:lvlJc w:val="left"/>
      <w:pPr>
        <w:ind w:left="1211" w:hanging="360"/>
      </w:pPr>
      <w:rPr>
        <w:b w:val="0"/>
        <w:bCs w:val="0"/>
        <w:color w:val="auto"/>
      </w:rPr>
    </w:lvl>
    <w:lvl w:ilvl="1" w:tplc="1F508394">
      <w:start w:val="1"/>
      <w:numFmt w:val="decimal"/>
      <w:lvlText w:val="%2."/>
      <w:lvlJc w:val="left"/>
      <w:pPr>
        <w:ind w:left="1788" w:hanging="360"/>
      </w:pPr>
    </w:lvl>
    <w:lvl w:ilvl="2" w:tplc="5F0491EA">
      <w:start w:val="1"/>
      <w:numFmt w:val="lowerRoman"/>
      <w:lvlText w:val="%3."/>
      <w:lvlJc w:val="right"/>
      <w:pPr>
        <w:ind w:left="2508" w:hanging="180"/>
      </w:pPr>
    </w:lvl>
    <w:lvl w:ilvl="3" w:tplc="56300BEA">
      <w:start w:val="1"/>
      <w:numFmt w:val="decimal"/>
      <w:lvlText w:val="%4."/>
      <w:lvlJc w:val="left"/>
      <w:pPr>
        <w:ind w:left="3228" w:hanging="360"/>
      </w:pPr>
    </w:lvl>
    <w:lvl w:ilvl="4" w:tplc="6F823D04">
      <w:start w:val="1"/>
      <w:numFmt w:val="lowerLetter"/>
      <w:lvlText w:val="%5."/>
      <w:lvlJc w:val="left"/>
      <w:pPr>
        <w:ind w:left="3948" w:hanging="360"/>
      </w:pPr>
    </w:lvl>
    <w:lvl w:ilvl="5" w:tplc="184684A2">
      <w:start w:val="1"/>
      <w:numFmt w:val="lowerRoman"/>
      <w:lvlText w:val="%6."/>
      <w:lvlJc w:val="right"/>
      <w:pPr>
        <w:ind w:left="4668" w:hanging="180"/>
      </w:pPr>
    </w:lvl>
    <w:lvl w:ilvl="6" w:tplc="DAFA5A08">
      <w:start w:val="1"/>
      <w:numFmt w:val="decimal"/>
      <w:lvlText w:val="%7."/>
      <w:lvlJc w:val="left"/>
      <w:pPr>
        <w:ind w:left="5388" w:hanging="360"/>
      </w:pPr>
    </w:lvl>
    <w:lvl w:ilvl="7" w:tplc="66A64530">
      <w:start w:val="1"/>
      <w:numFmt w:val="lowerLetter"/>
      <w:lvlText w:val="%8."/>
      <w:lvlJc w:val="left"/>
      <w:pPr>
        <w:ind w:left="6108" w:hanging="360"/>
      </w:pPr>
    </w:lvl>
    <w:lvl w:ilvl="8" w:tplc="C838AF4E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15" w15:restartNumberingAfterBreak="0">
    <w:nsid w:val="3B765C50"/>
    <w:multiLevelType w:val="hybridMultilevel"/>
    <w:tmpl w:val="6E4613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8" w15:restartNumberingAfterBreak="0">
    <w:nsid w:val="43CF1886"/>
    <w:multiLevelType w:val="hybridMultilevel"/>
    <w:tmpl w:val="B3D21BD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4A7F1A"/>
    <w:multiLevelType w:val="hybridMultilevel"/>
    <w:tmpl w:val="346A315C"/>
    <w:lvl w:ilvl="0" w:tplc="0BBCAFA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F20C7"/>
    <w:multiLevelType w:val="multilevel"/>
    <w:tmpl w:val="3260E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4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5" w15:restartNumberingAfterBreak="0">
    <w:nsid w:val="7B8F69B0"/>
    <w:multiLevelType w:val="multilevel"/>
    <w:tmpl w:val="8176F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C005C15"/>
    <w:multiLevelType w:val="multilevel"/>
    <w:tmpl w:val="D152E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790D9D"/>
    <w:multiLevelType w:val="multilevel"/>
    <w:tmpl w:val="C3E01C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161374">
    <w:abstractNumId w:val="13"/>
  </w:num>
  <w:num w:numId="2" w16cid:durableId="1790129206">
    <w:abstractNumId w:val="5"/>
  </w:num>
  <w:num w:numId="3" w16cid:durableId="1381897970">
    <w:abstractNumId w:val="19"/>
  </w:num>
  <w:num w:numId="4" w16cid:durableId="1925334634">
    <w:abstractNumId w:val="12"/>
  </w:num>
  <w:num w:numId="5" w16cid:durableId="124353530">
    <w:abstractNumId w:val="17"/>
  </w:num>
  <w:num w:numId="6" w16cid:durableId="240217676">
    <w:abstractNumId w:val="0"/>
  </w:num>
  <w:num w:numId="7" w16cid:durableId="2027824041">
    <w:abstractNumId w:val="23"/>
  </w:num>
  <w:num w:numId="8" w16cid:durableId="790054675">
    <w:abstractNumId w:val="8"/>
  </w:num>
  <w:num w:numId="9" w16cid:durableId="863132249">
    <w:abstractNumId w:val="16"/>
  </w:num>
  <w:num w:numId="10" w16cid:durableId="2145656837">
    <w:abstractNumId w:val="3"/>
  </w:num>
  <w:num w:numId="11" w16cid:durableId="678115967">
    <w:abstractNumId w:val="7"/>
  </w:num>
  <w:num w:numId="12" w16cid:durableId="257444813">
    <w:abstractNumId w:val="14"/>
  </w:num>
  <w:num w:numId="13" w16cid:durableId="1559124395">
    <w:abstractNumId w:val="24"/>
  </w:num>
  <w:num w:numId="14" w16cid:durableId="488135315">
    <w:abstractNumId w:val="2"/>
  </w:num>
  <w:num w:numId="15" w16cid:durableId="1956056202">
    <w:abstractNumId w:val="11"/>
  </w:num>
  <w:num w:numId="16" w16cid:durableId="1622571984">
    <w:abstractNumId w:val="10"/>
  </w:num>
  <w:num w:numId="17" w16cid:durableId="1499272555">
    <w:abstractNumId w:val="20"/>
  </w:num>
  <w:num w:numId="18" w16cid:durableId="718407127">
    <w:abstractNumId w:val="1"/>
  </w:num>
  <w:num w:numId="19" w16cid:durableId="7133841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674641">
    <w:abstractNumId w:val="27"/>
  </w:num>
  <w:num w:numId="21" w16cid:durableId="1061096256">
    <w:abstractNumId w:val="18"/>
  </w:num>
  <w:num w:numId="22" w16cid:durableId="776682791">
    <w:abstractNumId w:val="15"/>
  </w:num>
  <w:num w:numId="23" w16cid:durableId="932668190">
    <w:abstractNumId w:val="6"/>
  </w:num>
  <w:num w:numId="24" w16cid:durableId="1883250191">
    <w:abstractNumId w:val="25"/>
  </w:num>
  <w:num w:numId="25" w16cid:durableId="25179673">
    <w:abstractNumId w:val="9"/>
  </w:num>
  <w:num w:numId="26" w16cid:durableId="194125961">
    <w:abstractNumId w:val="21"/>
  </w:num>
  <w:num w:numId="27" w16cid:durableId="2139176529">
    <w:abstractNumId w:val="22"/>
    <w:lvlOverride w:ilvl="0">
      <w:lvl w:ilvl="0">
        <w:numFmt w:val="lowerLetter"/>
        <w:lvlText w:val="%1."/>
        <w:lvlJc w:val="left"/>
      </w:lvl>
    </w:lvlOverride>
  </w:num>
  <w:num w:numId="28" w16cid:durableId="1446077809">
    <w:abstractNumId w:val="4"/>
    <w:lvlOverride w:ilvl="0">
      <w:lvl w:ilvl="0">
        <w:numFmt w:val="lowerLetter"/>
        <w:lvlText w:val="%1."/>
        <w:lvlJc w:val="left"/>
      </w:lvl>
    </w:lvlOverride>
  </w:num>
  <w:num w:numId="29" w16cid:durableId="540677337">
    <w:abstractNumId w:val="4"/>
    <w:lvlOverride w:ilvl="0">
      <w:lvl w:ilvl="0">
        <w:numFmt w:val="lowerLetter"/>
        <w:lvlText w:val="%1."/>
        <w:lvlJc w:val="left"/>
      </w:lvl>
    </w:lvlOverride>
  </w:num>
  <w:num w:numId="30" w16cid:durableId="625550997">
    <w:abstractNumId w:val="26"/>
    <w:lvlOverride w:ilvl="0">
      <w:lvl w:ilvl="0">
        <w:numFmt w:val="lowerLetter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624A"/>
    <w:rsid w:val="000140E8"/>
    <w:rsid w:val="00015084"/>
    <w:rsid w:val="000247D2"/>
    <w:rsid w:val="00025274"/>
    <w:rsid w:val="00027971"/>
    <w:rsid w:val="00032D23"/>
    <w:rsid w:val="00034CDD"/>
    <w:rsid w:val="00040C1B"/>
    <w:rsid w:val="0004153A"/>
    <w:rsid w:val="000424AC"/>
    <w:rsid w:val="000462ED"/>
    <w:rsid w:val="00053CB5"/>
    <w:rsid w:val="00053DC5"/>
    <w:rsid w:val="0005583B"/>
    <w:rsid w:val="000717A3"/>
    <w:rsid w:val="00073A71"/>
    <w:rsid w:val="00074CF9"/>
    <w:rsid w:val="00076DD2"/>
    <w:rsid w:val="00080487"/>
    <w:rsid w:val="00080FAB"/>
    <w:rsid w:val="000838EF"/>
    <w:rsid w:val="00085B98"/>
    <w:rsid w:val="00085C25"/>
    <w:rsid w:val="000904B2"/>
    <w:rsid w:val="00093307"/>
    <w:rsid w:val="000A2355"/>
    <w:rsid w:val="000A6B81"/>
    <w:rsid w:val="000B0723"/>
    <w:rsid w:val="000B1823"/>
    <w:rsid w:val="000B5458"/>
    <w:rsid w:val="000C3C06"/>
    <w:rsid w:val="000C4151"/>
    <w:rsid w:val="000D0C94"/>
    <w:rsid w:val="000D77D6"/>
    <w:rsid w:val="000E2739"/>
    <w:rsid w:val="000E5931"/>
    <w:rsid w:val="000E7964"/>
    <w:rsid w:val="000F5EAD"/>
    <w:rsid w:val="000F6C51"/>
    <w:rsid w:val="000F7283"/>
    <w:rsid w:val="00106A16"/>
    <w:rsid w:val="0010755E"/>
    <w:rsid w:val="001109B5"/>
    <w:rsid w:val="00112A98"/>
    <w:rsid w:val="00123034"/>
    <w:rsid w:val="0012493A"/>
    <w:rsid w:val="00125188"/>
    <w:rsid w:val="0013017F"/>
    <w:rsid w:val="00140B0C"/>
    <w:rsid w:val="00145D33"/>
    <w:rsid w:val="00146395"/>
    <w:rsid w:val="00150AB8"/>
    <w:rsid w:val="00154B19"/>
    <w:rsid w:val="00167E30"/>
    <w:rsid w:val="00171FFE"/>
    <w:rsid w:val="00173C05"/>
    <w:rsid w:val="00174A25"/>
    <w:rsid w:val="001768BF"/>
    <w:rsid w:val="00190E5A"/>
    <w:rsid w:val="001937FB"/>
    <w:rsid w:val="0019629F"/>
    <w:rsid w:val="001972CF"/>
    <w:rsid w:val="001A4EBF"/>
    <w:rsid w:val="001B0D09"/>
    <w:rsid w:val="001B1214"/>
    <w:rsid w:val="001B6439"/>
    <w:rsid w:val="001B7AE5"/>
    <w:rsid w:val="001C0D21"/>
    <w:rsid w:val="001C7166"/>
    <w:rsid w:val="001D5372"/>
    <w:rsid w:val="001D53D3"/>
    <w:rsid w:val="001E3033"/>
    <w:rsid w:val="001E399F"/>
    <w:rsid w:val="001E4CE6"/>
    <w:rsid w:val="001F1C13"/>
    <w:rsid w:val="00203E92"/>
    <w:rsid w:val="002120FC"/>
    <w:rsid w:val="0021227A"/>
    <w:rsid w:val="00216B90"/>
    <w:rsid w:val="00216ED6"/>
    <w:rsid w:val="00231329"/>
    <w:rsid w:val="002320C1"/>
    <w:rsid w:val="00232AA4"/>
    <w:rsid w:val="00243EA4"/>
    <w:rsid w:val="0024404C"/>
    <w:rsid w:val="00244736"/>
    <w:rsid w:val="002447FC"/>
    <w:rsid w:val="00245258"/>
    <w:rsid w:val="0024533C"/>
    <w:rsid w:val="00250701"/>
    <w:rsid w:val="002522DC"/>
    <w:rsid w:val="0025271A"/>
    <w:rsid w:val="00262979"/>
    <w:rsid w:val="00283D4E"/>
    <w:rsid w:val="002969DA"/>
    <w:rsid w:val="002B28C0"/>
    <w:rsid w:val="002B6397"/>
    <w:rsid w:val="002B680C"/>
    <w:rsid w:val="002B6DE6"/>
    <w:rsid w:val="002C241D"/>
    <w:rsid w:val="002C47B7"/>
    <w:rsid w:val="002C6AF5"/>
    <w:rsid w:val="002D2D8C"/>
    <w:rsid w:val="002D2F13"/>
    <w:rsid w:val="002D4968"/>
    <w:rsid w:val="002E22EB"/>
    <w:rsid w:val="002E24F2"/>
    <w:rsid w:val="002E5A67"/>
    <w:rsid w:val="002F6F14"/>
    <w:rsid w:val="002F7173"/>
    <w:rsid w:val="00302F28"/>
    <w:rsid w:val="00307F8E"/>
    <w:rsid w:val="0031004C"/>
    <w:rsid w:val="00314B6E"/>
    <w:rsid w:val="00321EA5"/>
    <w:rsid w:val="003258AF"/>
    <w:rsid w:val="00326984"/>
    <w:rsid w:val="00331DD3"/>
    <w:rsid w:val="00334780"/>
    <w:rsid w:val="003352C4"/>
    <w:rsid w:val="0034304C"/>
    <w:rsid w:val="00345DEA"/>
    <w:rsid w:val="00355D4A"/>
    <w:rsid w:val="0036140E"/>
    <w:rsid w:val="00362161"/>
    <w:rsid w:val="00364D71"/>
    <w:rsid w:val="00373225"/>
    <w:rsid w:val="00374011"/>
    <w:rsid w:val="00375345"/>
    <w:rsid w:val="003767BD"/>
    <w:rsid w:val="003773CF"/>
    <w:rsid w:val="00377525"/>
    <w:rsid w:val="003809B2"/>
    <w:rsid w:val="00380E4E"/>
    <w:rsid w:val="00391036"/>
    <w:rsid w:val="003913F1"/>
    <w:rsid w:val="00396F87"/>
    <w:rsid w:val="003A0E13"/>
    <w:rsid w:val="003A41CC"/>
    <w:rsid w:val="003A47F7"/>
    <w:rsid w:val="003A5714"/>
    <w:rsid w:val="003B00B9"/>
    <w:rsid w:val="003B2237"/>
    <w:rsid w:val="003B3D99"/>
    <w:rsid w:val="003C67C0"/>
    <w:rsid w:val="003E0F25"/>
    <w:rsid w:val="003E45BB"/>
    <w:rsid w:val="003E4B07"/>
    <w:rsid w:val="003E7E1D"/>
    <w:rsid w:val="003F0058"/>
    <w:rsid w:val="003F3F3B"/>
    <w:rsid w:val="004015C4"/>
    <w:rsid w:val="0040385B"/>
    <w:rsid w:val="004047A1"/>
    <w:rsid w:val="00404D6A"/>
    <w:rsid w:val="00406D1B"/>
    <w:rsid w:val="00407335"/>
    <w:rsid w:val="00410564"/>
    <w:rsid w:val="00417E31"/>
    <w:rsid w:val="00420D19"/>
    <w:rsid w:val="00421F1D"/>
    <w:rsid w:val="004240B6"/>
    <w:rsid w:val="00425C1C"/>
    <w:rsid w:val="00450FC6"/>
    <w:rsid w:val="00460ADD"/>
    <w:rsid w:val="00471843"/>
    <w:rsid w:val="00475BF4"/>
    <w:rsid w:val="00476D40"/>
    <w:rsid w:val="004837B5"/>
    <w:rsid w:val="004865F0"/>
    <w:rsid w:val="00490349"/>
    <w:rsid w:val="004B298F"/>
    <w:rsid w:val="004B77AD"/>
    <w:rsid w:val="004C00F0"/>
    <w:rsid w:val="004C2927"/>
    <w:rsid w:val="004C7230"/>
    <w:rsid w:val="004D11C1"/>
    <w:rsid w:val="004E31DD"/>
    <w:rsid w:val="004E5D06"/>
    <w:rsid w:val="004E64EC"/>
    <w:rsid w:val="004E6C01"/>
    <w:rsid w:val="004E7831"/>
    <w:rsid w:val="005054AD"/>
    <w:rsid w:val="00511F99"/>
    <w:rsid w:val="005175E1"/>
    <w:rsid w:val="0052143A"/>
    <w:rsid w:val="0052575C"/>
    <w:rsid w:val="005271D9"/>
    <w:rsid w:val="005356A5"/>
    <w:rsid w:val="00535FB7"/>
    <w:rsid w:val="00541FC6"/>
    <w:rsid w:val="0054272A"/>
    <w:rsid w:val="00543D9B"/>
    <w:rsid w:val="0054579D"/>
    <w:rsid w:val="005457D0"/>
    <w:rsid w:val="005469CB"/>
    <w:rsid w:val="005472CB"/>
    <w:rsid w:val="005526EE"/>
    <w:rsid w:val="00554BA7"/>
    <w:rsid w:val="0055615C"/>
    <w:rsid w:val="00561684"/>
    <w:rsid w:val="00564BC8"/>
    <w:rsid w:val="0056553A"/>
    <w:rsid w:val="00573B45"/>
    <w:rsid w:val="00580284"/>
    <w:rsid w:val="005840B4"/>
    <w:rsid w:val="00584457"/>
    <w:rsid w:val="0058462C"/>
    <w:rsid w:val="00584ACC"/>
    <w:rsid w:val="005960A6"/>
    <w:rsid w:val="00597539"/>
    <w:rsid w:val="005A1AD2"/>
    <w:rsid w:val="005A6AF1"/>
    <w:rsid w:val="005B09B5"/>
    <w:rsid w:val="005B39AF"/>
    <w:rsid w:val="005B3F09"/>
    <w:rsid w:val="005B7527"/>
    <w:rsid w:val="005C1335"/>
    <w:rsid w:val="005C160A"/>
    <w:rsid w:val="005C3C85"/>
    <w:rsid w:val="005C7120"/>
    <w:rsid w:val="005C7FA5"/>
    <w:rsid w:val="005D1DAA"/>
    <w:rsid w:val="005D40E9"/>
    <w:rsid w:val="005D4A05"/>
    <w:rsid w:val="005E2E99"/>
    <w:rsid w:val="005E5566"/>
    <w:rsid w:val="005F34E1"/>
    <w:rsid w:val="005F3836"/>
    <w:rsid w:val="005F7031"/>
    <w:rsid w:val="00602A43"/>
    <w:rsid w:val="00604992"/>
    <w:rsid w:val="00605C05"/>
    <w:rsid w:val="006123DE"/>
    <w:rsid w:val="00613DEC"/>
    <w:rsid w:val="006221B7"/>
    <w:rsid w:val="00626457"/>
    <w:rsid w:val="006311CC"/>
    <w:rsid w:val="00642725"/>
    <w:rsid w:val="00642865"/>
    <w:rsid w:val="006449E4"/>
    <w:rsid w:val="006472B1"/>
    <w:rsid w:val="0064737D"/>
    <w:rsid w:val="006513F5"/>
    <w:rsid w:val="0065194C"/>
    <w:rsid w:val="00653008"/>
    <w:rsid w:val="00664196"/>
    <w:rsid w:val="00670AD9"/>
    <w:rsid w:val="00670DFB"/>
    <w:rsid w:val="0067108C"/>
    <w:rsid w:val="00672CB8"/>
    <w:rsid w:val="006736AB"/>
    <w:rsid w:val="00673D18"/>
    <w:rsid w:val="0067634C"/>
    <w:rsid w:val="0067DF30"/>
    <w:rsid w:val="0068622E"/>
    <w:rsid w:val="00694AB4"/>
    <w:rsid w:val="006A27DD"/>
    <w:rsid w:val="006A3800"/>
    <w:rsid w:val="006A7C01"/>
    <w:rsid w:val="006B05FC"/>
    <w:rsid w:val="006C6EC9"/>
    <w:rsid w:val="006C7339"/>
    <w:rsid w:val="006D351E"/>
    <w:rsid w:val="006D785C"/>
    <w:rsid w:val="006E0949"/>
    <w:rsid w:val="006E15A0"/>
    <w:rsid w:val="006F3515"/>
    <w:rsid w:val="006F43AC"/>
    <w:rsid w:val="006F5928"/>
    <w:rsid w:val="0070172C"/>
    <w:rsid w:val="00712C83"/>
    <w:rsid w:val="00713C90"/>
    <w:rsid w:val="007218A5"/>
    <w:rsid w:val="00722AB9"/>
    <w:rsid w:val="00746EAC"/>
    <w:rsid w:val="00747800"/>
    <w:rsid w:val="007533B7"/>
    <w:rsid w:val="00762422"/>
    <w:rsid w:val="007635F3"/>
    <w:rsid w:val="007736CE"/>
    <w:rsid w:val="0077457A"/>
    <w:rsid w:val="00795BA2"/>
    <w:rsid w:val="00796199"/>
    <w:rsid w:val="0079644E"/>
    <w:rsid w:val="00797578"/>
    <w:rsid w:val="007A2271"/>
    <w:rsid w:val="007A4E97"/>
    <w:rsid w:val="007B3E83"/>
    <w:rsid w:val="007C4E6D"/>
    <w:rsid w:val="007D0769"/>
    <w:rsid w:val="007D3716"/>
    <w:rsid w:val="007D4905"/>
    <w:rsid w:val="007E1DEB"/>
    <w:rsid w:val="007E326D"/>
    <w:rsid w:val="007E46F8"/>
    <w:rsid w:val="007E4AB2"/>
    <w:rsid w:val="007F0D26"/>
    <w:rsid w:val="007F5AE2"/>
    <w:rsid w:val="0080426D"/>
    <w:rsid w:val="008054AE"/>
    <w:rsid w:val="0080555A"/>
    <w:rsid w:val="00805CBB"/>
    <w:rsid w:val="0080700F"/>
    <w:rsid w:val="00807E72"/>
    <w:rsid w:val="00817486"/>
    <w:rsid w:val="00820CB6"/>
    <w:rsid w:val="0082283C"/>
    <w:rsid w:val="00822E27"/>
    <w:rsid w:val="0082450B"/>
    <w:rsid w:val="0082606C"/>
    <w:rsid w:val="008366E3"/>
    <w:rsid w:val="008440ED"/>
    <w:rsid w:val="00844678"/>
    <w:rsid w:val="008457EB"/>
    <w:rsid w:val="00851E3C"/>
    <w:rsid w:val="00856BFE"/>
    <w:rsid w:val="00856CF3"/>
    <w:rsid w:val="00864148"/>
    <w:rsid w:val="008706D0"/>
    <w:rsid w:val="00870867"/>
    <w:rsid w:val="008811CF"/>
    <w:rsid w:val="008864A5"/>
    <w:rsid w:val="00886D09"/>
    <w:rsid w:val="00892880"/>
    <w:rsid w:val="00896291"/>
    <w:rsid w:val="008A305E"/>
    <w:rsid w:val="008C0614"/>
    <w:rsid w:val="008C09D4"/>
    <w:rsid w:val="008C2C98"/>
    <w:rsid w:val="008C4B3A"/>
    <w:rsid w:val="008D1D0B"/>
    <w:rsid w:val="008D4738"/>
    <w:rsid w:val="008D7E80"/>
    <w:rsid w:val="008E3543"/>
    <w:rsid w:val="008E6537"/>
    <w:rsid w:val="008E7BA2"/>
    <w:rsid w:val="008F3F50"/>
    <w:rsid w:val="008F7D7C"/>
    <w:rsid w:val="009008D1"/>
    <w:rsid w:val="00900BC3"/>
    <w:rsid w:val="00901015"/>
    <w:rsid w:val="009028DE"/>
    <w:rsid w:val="00906CD1"/>
    <w:rsid w:val="0091172B"/>
    <w:rsid w:val="00912575"/>
    <w:rsid w:val="00913E81"/>
    <w:rsid w:val="00914049"/>
    <w:rsid w:val="00922192"/>
    <w:rsid w:val="00924CB0"/>
    <w:rsid w:val="00934B51"/>
    <w:rsid w:val="009350BD"/>
    <w:rsid w:val="0093646D"/>
    <w:rsid w:val="00942549"/>
    <w:rsid w:val="009502BF"/>
    <w:rsid w:val="00953F1E"/>
    <w:rsid w:val="00955396"/>
    <w:rsid w:val="00961973"/>
    <w:rsid w:val="0096231D"/>
    <w:rsid w:val="00964062"/>
    <w:rsid w:val="00967035"/>
    <w:rsid w:val="00976A38"/>
    <w:rsid w:val="00980417"/>
    <w:rsid w:val="00981DA2"/>
    <w:rsid w:val="009828ED"/>
    <w:rsid w:val="00986567"/>
    <w:rsid w:val="00986655"/>
    <w:rsid w:val="0098734D"/>
    <w:rsid w:val="00991287"/>
    <w:rsid w:val="00991DB6"/>
    <w:rsid w:val="00993471"/>
    <w:rsid w:val="00993839"/>
    <w:rsid w:val="009A1518"/>
    <w:rsid w:val="009A53BC"/>
    <w:rsid w:val="009A5FC1"/>
    <w:rsid w:val="009A75CC"/>
    <w:rsid w:val="009B2B2A"/>
    <w:rsid w:val="009C71A0"/>
    <w:rsid w:val="009D3410"/>
    <w:rsid w:val="009D5983"/>
    <w:rsid w:val="009F2798"/>
    <w:rsid w:val="009F2E0A"/>
    <w:rsid w:val="009F776C"/>
    <w:rsid w:val="00A00F13"/>
    <w:rsid w:val="00A028AF"/>
    <w:rsid w:val="00A02EE3"/>
    <w:rsid w:val="00A04ECB"/>
    <w:rsid w:val="00A0733D"/>
    <w:rsid w:val="00A10A8B"/>
    <w:rsid w:val="00A12C14"/>
    <w:rsid w:val="00A14AE1"/>
    <w:rsid w:val="00A16138"/>
    <w:rsid w:val="00A16D48"/>
    <w:rsid w:val="00A171B9"/>
    <w:rsid w:val="00A21B2A"/>
    <w:rsid w:val="00A30744"/>
    <w:rsid w:val="00A3165D"/>
    <w:rsid w:val="00A37CA0"/>
    <w:rsid w:val="00A42AAE"/>
    <w:rsid w:val="00A4761D"/>
    <w:rsid w:val="00A5026B"/>
    <w:rsid w:val="00A56A5B"/>
    <w:rsid w:val="00A60D2E"/>
    <w:rsid w:val="00A6183E"/>
    <w:rsid w:val="00A6265D"/>
    <w:rsid w:val="00A65C4D"/>
    <w:rsid w:val="00A66526"/>
    <w:rsid w:val="00A825F2"/>
    <w:rsid w:val="00A85DFD"/>
    <w:rsid w:val="00A87EA8"/>
    <w:rsid w:val="00A92884"/>
    <w:rsid w:val="00A92FA0"/>
    <w:rsid w:val="00A9638A"/>
    <w:rsid w:val="00AA01F4"/>
    <w:rsid w:val="00AB744D"/>
    <w:rsid w:val="00AC3D85"/>
    <w:rsid w:val="00AC405D"/>
    <w:rsid w:val="00AC51C7"/>
    <w:rsid w:val="00AC6EFE"/>
    <w:rsid w:val="00AD0584"/>
    <w:rsid w:val="00AD3417"/>
    <w:rsid w:val="00AE1332"/>
    <w:rsid w:val="00AE7524"/>
    <w:rsid w:val="00AF5854"/>
    <w:rsid w:val="00AF59DE"/>
    <w:rsid w:val="00B029E7"/>
    <w:rsid w:val="00B03D3A"/>
    <w:rsid w:val="00B04B66"/>
    <w:rsid w:val="00B04B9D"/>
    <w:rsid w:val="00B04D9A"/>
    <w:rsid w:val="00B11794"/>
    <w:rsid w:val="00B147C0"/>
    <w:rsid w:val="00B17614"/>
    <w:rsid w:val="00B23D4D"/>
    <w:rsid w:val="00B264B9"/>
    <w:rsid w:val="00B3185A"/>
    <w:rsid w:val="00B31AF5"/>
    <w:rsid w:val="00B34A16"/>
    <w:rsid w:val="00B358E0"/>
    <w:rsid w:val="00B40B00"/>
    <w:rsid w:val="00B42B40"/>
    <w:rsid w:val="00B42F7B"/>
    <w:rsid w:val="00B43F9F"/>
    <w:rsid w:val="00B44BA9"/>
    <w:rsid w:val="00B47D43"/>
    <w:rsid w:val="00B510A7"/>
    <w:rsid w:val="00B5160E"/>
    <w:rsid w:val="00B5262A"/>
    <w:rsid w:val="00B57724"/>
    <w:rsid w:val="00B63AEE"/>
    <w:rsid w:val="00B645F9"/>
    <w:rsid w:val="00B67625"/>
    <w:rsid w:val="00B7044A"/>
    <w:rsid w:val="00B706D8"/>
    <w:rsid w:val="00B72F64"/>
    <w:rsid w:val="00B738B1"/>
    <w:rsid w:val="00B81460"/>
    <w:rsid w:val="00B85E3A"/>
    <w:rsid w:val="00B86BB9"/>
    <w:rsid w:val="00B94C3F"/>
    <w:rsid w:val="00B9722F"/>
    <w:rsid w:val="00B97420"/>
    <w:rsid w:val="00BA33D6"/>
    <w:rsid w:val="00BA38CF"/>
    <w:rsid w:val="00BA685C"/>
    <w:rsid w:val="00BB11DC"/>
    <w:rsid w:val="00BB7799"/>
    <w:rsid w:val="00BB7E9D"/>
    <w:rsid w:val="00BC092E"/>
    <w:rsid w:val="00BC2387"/>
    <w:rsid w:val="00BC25CF"/>
    <w:rsid w:val="00BC268F"/>
    <w:rsid w:val="00BD4F19"/>
    <w:rsid w:val="00BE0F09"/>
    <w:rsid w:val="00BE17DE"/>
    <w:rsid w:val="00BE568F"/>
    <w:rsid w:val="00BE6F67"/>
    <w:rsid w:val="00BE7E55"/>
    <w:rsid w:val="00C214D4"/>
    <w:rsid w:val="00C2259E"/>
    <w:rsid w:val="00C22E6E"/>
    <w:rsid w:val="00C276DA"/>
    <w:rsid w:val="00C35A94"/>
    <w:rsid w:val="00C445A8"/>
    <w:rsid w:val="00C506A9"/>
    <w:rsid w:val="00C535D5"/>
    <w:rsid w:val="00C550F7"/>
    <w:rsid w:val="00C55E88"/>
    <w:rsid w:val="00C6291E"/>
    <w:rsid w:val="00C65932"/>
    <w:rsid w:val="00C702F8"/>
    <w:rsid w:val="00C70B10"/>
    <w:rsid w:val="00C82BDD"/>
    <w:rsid w:val="00C84102"/>
    <w:rsid w:val="00C90EB8"/>
    <w:rsid w:val="00C965C5"/>
    <w:rsid w:val="00C97863"/>
    <w:rsid w:val="00CA0483"/>
    <w:rsid w:val="00CA3D90"/>
    <w:rsid w:val="00CA5786"/>
    <w:rsid w:val="00CA6F7A"/>
    <w:rsid w:val="00CB4382"/>
    <w:rsid w:val="00CB738F"/>
    <w:rsid w:val="00CC1E90"/>
    <w:rsid w:val="00CC4C30"/>
    <w:rsid w:val="00CD335E"/>
    <w:rsid w:val="00CD35AD"/>
    <w:rsid w:val="00CD43CD"/>
    <w:rsid w:val="00CD4CAD"/>
    <w:rsid w:val="00CD6397"/>
    <w:rsid w:val="00CE10FE"/>
    <w:rsid w:val="00CE40E8"/>
    <w:rsid w:val="00CE75FD"/>
    <w:rsid w:val="00CF4DB8"/>
    <w:rsid w:val="00CF579C"/>
    <w:rsid w:val="00D01F81"/>
    <w:rsid w:val="00D03A33"/>
    <w:rsid w:val="00D05929"/>
    <w:rsid w:val="00D06953"/>
    <w:rsid w:val="00D11123"/>
    <w:rsid w:val="00D13C07"/>
    <w:rsid w:val="00D14285"/>
    <w:rsid w:val="00D20893"/>
    <w:rsid w:val="00D21BFA"/>
    <w:rsid w:val="00D24765"/>
    <w:rsid w:val="00D27F90"/>
    <w:rsid w:val="00D303E4"/>
    <w:rsid w:val="00D44FAE"/>
    <w:rsid w:val="00D5109C"/>
    <w:rsid w:val="00D53149"/>
    <w:rsid w:val="00D53ABD"/>
    <w:rsid w:val="00D645D0"/>
    <w:rsid w:val="00D67242"/>
    <w:rsid w:val="00D67E8D"/>
    <w:rsid w:val="00D70505"/>
    <w:rsid w:val="00D75274"/>
    <w:rsid w:val="00D771D5"/>
    <w:rsid w:val="00D77AA8"/>
    <w:rsid w:val="00D81E16"/>
    <w:rsid w:val="00D906EB"/>
    <w:rsid w:val="00D91441"/>
    <w:rsid w:val="00DA328C"/>
    <w:rsid w:val="00DA361C"/>
    <w:rsid w:val="00DA6634"/>
    <w:rsid w:val="00DC6284"/>
    <w:rsid w:val="00DC67B1"/>
    <w:rsid w:val="00DD01CE"/>
    <w:rsid w:val="00DD3CB5"/>
    <w:rsid w:val="00DD4EA3"/>
    <w:rsid w:val="00DD726E"/>
    <w:rsid w:val="00DE3B8E"/>
    <w:rsid w:val="00DE61EB"/>
    <w:rsid w:val="00E01C4F"/>
    <w:rsid w:val="00E04352"/>
    <w:rsid w:val="00E103A4"/>
    <w:rsid w:val="00E10A43"/>
    <w:rsid w:val="00E149C6"/>
    <w:rsid w:val="00E167C7"/>
    <w:rsid w:val="00E17C37"/>
    <w:rsid w:val="00E216DA"/>
    <w:rsid w:val="00E34E26"/>
    <w:rsid w:val="00E5042A"/>
    <w:rsid w:val="00E50578"/>
    <w:rsid w:val="00E537EB"/>
    <w:rsid w:val="00E538AD"/>
    <w:rsid w:val="00E569BB"/>
    <w:rsid w:val="00E618C9"/>
    <w:rsid w:val="00E62FA2"/>
    <w:rsid w:val="00E66718"/>
    <w:rsid w:val="00E66746"/>
    <w:rsid w:val="00E66B78"/>
    <w:rsid w:val="00E66EA8"/>
    <w:rsid w:val="00E701A1"/>
    <w:rsid w:val="00E848E0"/>
    <w:rsid w:val="00E86070"/>
    <w:rsid w:val="00EA0C50"/>
    <w:rsid w:val="00EA3EF7"/>
    <w:rsid w:val="00EA7405"/>
    <w:rsid w:val="00EA756C"/>
    <w:rsid w:val="00EB7380"/>
    <w:rsid w:val="00EC5896"/>
    <w:rsid w:val="00EE2AFF"/>
    <w:rsid w:val="00EE5DAB"/>
    <w:rsid w:val="00EF112F"/>
    <w:rsid w:val="00EF44F9"/>
    <w:rsid w:val="00F0236A"/>
    <w:rsid w:val="00F04065"/>
    <w:rsid w:val="00F170C0"/>
    <w:rsid w:val="00F25F3B"/>
    <w:rsid w:val="00F301DF"/>
    <w:rsid w:val="00F41273"/>
    <w:rsid w:val="00F475A9"/>
    <w:rsid w:val="00F51BED"/>
    <w:rsid w:val="00F53E30"/>
    <w:rsid w:val="00F61B25"/>
    <w:rsid w:val="00F81F0E"/>
    <w:rsid w:val="00F92048"/>
    <w:rsid w:val="00F947E3"/>
    <w:rsid w:val="00F94E19"/>
    <w:rsid w:val="00F96557"/>
    <w:rsid w:val="00F97AC0"/>
    <w:rsid w:val="00FA10B0"/>
    <w:rsid w:val="00FA21D4"/>
    <w:rsid w:val="00FA23A9"/>
    <w:rsid w:val="00FA3452"/>
    <w:rsid w:val="00FC76B0"/>
    <w:rsid w:val="00FD1D92"/>
    <w:rsid w:val="00FD3418"/>
    <w:rsid w:val="00FF74ED"/>
    <w:rsid w:val="01B1ECE9"/>
    <w:rsid w:val="030184C4"/>
    <w:rsid w:val="03F2E3F9"/>
    <w:rsid w:val="03FF3872"/>
    <w:rsid w:val="05C2B6F0"/>
    <w:rsid w:val="05F5F2A7"/>
    <w:rsid w:val="0649B898"/>
    <w:rsid w:val="079CE4BF"/>
    <w:rsid w:val="0A853276"/>
    <w:rsid w:val="0C234FD7"/>
    <w:rsid w:val="0C4B2BAE"/>
    <w:rsid w:val="0CB8D396"/>
    <w:rsid w:val="0D51A847"/>
    <w:rsid w:val="0DD7F6EC"/>
    <w:rsid w:val="0E6FE7EC"/>
    <w:rsid w:val="0EDF4717"/>
    <w:rsid w:val="0EFB3E60"/>
    <w:rsid w:val="0F1951B4"/>
    <w:rsid w:val="0F8AE2B0"/>
    <w:rsid w:val="10EB4FB6"/>
    <w:rsid w:val="1155A416"/>
    <w:rsid w:val="126835C6"/>
    <w:rsid w:val="12BDE63C"/>
    <w:rsid w:val="133781AA"/>
    <w:rsid w:val="13814D3D"/>
    <w:rsid w:val="143EE450"/>
    <w:rsid w:val="161081A6"/>
    <w:rsid w:val="164B363E"/>
    <w:rsid w:val="173BFC80"/>
    <w:rsid w:val="1769B096"/>
    <w:rsid w:val="18BFC6E2"/>
    <w:rsid w:val="19A82F6C"/>
    <w:rsid w:val="19DBD49F"/>
    <w:rsid w:val="1AC4F8CD"/>
    <w:rsid w:val="1AE9F4FA"/>
    <w:rsid w:val="1B105574"/>
    <w:rsid w:val="1BABA53D"/>
    <w:rsid w:val="1BD7BF0A"/>
    <w:rsid w:val="1C4461A7"/>
    <w:rsid w:val="1E460EEC"/>
    <w:rsid w:val="1E4EC831"/>
    <w:rsid w:val="1E894F91"/>
    <w:rsid w:val="1F47665A"/>
    <w:rsid w:val="1F88C131"/>
    <w:rsid w:val="22F4CBDF"/>
    <w:rsid w:val="23A92FDD"/>
    <w:rsid w:val="24470DF6"/>
    <w:rsid w:val="2596B04E"/>
    <w:rsid w:val="25C8A06A"/>
    <w:rsid w:val="26A5AECB"/>
    <w:rsid w:val="28AC11FF"/>
    <w:rsid w:val="290EE3E2"/>
    <w:rsid w:val="294024A7"/>
    <w:rsid w:val="29D262C2"/>
    <w:rsid w:val="2AB5DFAF"/>
    <w:rsid w:val="2B181CD1"/>
    <w:rsid w:val="2CD1D5A0"/>
    <w:rsid w:val="2D00CFAB"/>
    <w:rsid w:val="2D19C61A"/>
    <w:rsid w:val="2E093F92"/>
    <w:rsid w:val="2E1C0622"/>
    <w:rsid w:val="2E54CFA8"/>
    <w:rsid w:val="2EAEA873"/>
    <w:rsid w:val="2F2B6BF8"/>
    <w:rsid w:val="2F59D0B7"/>
    <w:rsid w:val="2FA80EA6"/>
    <w:rsid w:val="3039BE69"/>
    <w:rsid w:val="337010AC"/>
    <w:rsid w:val="33D3FA5C"/>
    <w:rsid w:val="343B236A"/>
    <w:rsid w:val="343DE5B7"/>
    <w:rsid w:val="345895FC"/>
    <w:rsid w:val="351332FA"/>
    <w:rsid w:val="35CBD8E0"/>
    <w:rsid w:val="372E7288"/>
    <w:rsid w:val="37A38936"/>
    <w:rsid w:val="38A8FCDD"/>
    <w:rsid w:val="38B6C5F1"/>
    <w:rsid w:val="38C648DF"/>
    <w:rsid w:val="38D229DA"/>
    <w:rsid w:val="391461CF"/>
    <w:rsid w:val="39242C79"/>
    <w:rsid w:val="39BBB988"/>
    <w:rsid w:val="3A2B2004"/>
    <w:rsid w:val="3A34A06B"/>
    <w:rsid w:val="3AEA087D"/>
    <w:rsid w:val="3B594EC4"/>
    <w:rsid w:val="3C2AD335"/>
    <w:rsid w:val="3DA185C6"/>
    <w:rsid w:val="3EAAC53A"/>
    <w:rsid w:val="3EBAACA1"/>
    <w:rsid w:val="403816F7"/>
    <w:rsid w:val="4077FDD3"/>
    <w:rsid w:val="40BD07FD"/>
    <w:rsid w:val="40CA0C58"/>
    <w:rsid w:val="40DC0E6F"/>
    <w:rsid w:val="4334E67E"/>
    <w:rsid w:val="434A7F50"/>
    <w:rsid w:val="44D90696"/>
    <w:rsid w:val="46926CC5"/>
    <w:rsid w:val="46B01AB6"/>
    <w:rsid w:val="47040967"/>
    <w:rsid w:val="471C42E1"/>
    <w:rsid w:val="4822F781"/>
    <w:rsid w:val="496E1882"/>
    <w:rsid w:val="49A4160E"/>
    <w:rsid w:val="4A20FA7D"/>
    <w:rsid w:val="4B9D5D86"/>
    <w:rsid w:val="4BC24A5C"/>
    <w:rsid w:val="4C23EE75"/>
    <w:rsid w:val="4D1B3DA6"/>
    <w:rsid w:val="4DF94829"/>
    <w:rsid w:val="4E0E8533"/>
    <w:rsid w:val="4E20883A"/>
    <w:rsid w:val="4E5B2353"/>
    <w:rsid w:val="4E9BB212"/>
    <w:rsid w:val="4EE2F0E8"/>
    <w:rsid w:val="4F7F5F12"/>
    <w:rsid w:val="5071B38C"/>
    <w:rsid w:val="508D3560"/>
    <w:rsid w:val="50CB11D0"/>
    <w:rsid w:val="5327AD33"/>
    <w:rsid w:val="53D451F6"/>
    <w:rsid w:val="53F18E03"/>
    <w:rsid w:val="5478D312"/>
    <w:rsid w:val="54B6C664"/>
    <w:rsid w:val="54BD0F9C"/>
    <w:rsid w:val="5552EF7C"/>
    <w:rsid w:val="56C59A02"/>
    <w:rsid w:val="57D47C61"/>
    <w:rsid w:val="58C813FD"/>
    <w:rsid w:val="590AED7D"/>
    <w:rsid w:val="5A941F8B"/>
    <w:rsid w:val="5ACBD4A5"/>
    <w:rsid w:val="5ADB7FBB"/>
    <w:rsid w:val="5BC59639"/>
    <w:rsid w:val="5CDE4D1C"/>
    <w:rsid w:val="5E3F0018"/>
    <w:rsid w:val="5EF8A64A"/>
    <w:rsid w:val="5F6EDBB9"/>
    <w:rsid w:val="5FD2D943"/>
    <w:rsid w:val="5FDA8E42"/>
    <w:rsid w:val="609F89A1"/>
    <w:rsid w:val="6103F829"/>
    <w:rsid w:val="6172BFB6"/>
    <w:rsid w:val="64CD12EA"/>
    <w:rsid w:val="64FA6DA2"/>
    <w:rsid w:val="65AFA0AF"/>
    <w:rsid w:val="65C43546"/>
    <w:rsid w:val="661C1B09"/>
    <w:rsid w:val="66D5234B"/>
    <w:rsid w:val="67180C21"/>
    <w:rsid w:val="6726184D"/>
    <w:rsid w:val="6918D97F"/>
    <w:rsid w:val="6937952D"/>
    <w:rsid w:val="6A4454EA"/>
    <w:rsid w:val="6AD14F56"/>
    <w:rsid w:val="6E9D1115"/>
    <w:rsid w:val="6FB5CA7D"/>
    <w:rsid w:val="6FDF1532"/>
    <w:rsid w:val="6FDF62A9"/>
    <w:rsid w:val="700DCC14"/>
    <w:rsid w:val="707C0E31"/>
    <w:rsid w:val="7251A271"/>
    <w:rsid w:val="72DE1094"/>
    <w:rsid w:val="73B54A1C"/>
    <w:rsid w:val="740422EA"/>
    <w:rsid w:val="7582A022"/>
    <w:rsid w:val="76BBDC52"/>
    <w:rsid w:val="76BDEAAA"/>
    <w:rsid w:val="795EF4F6"/>
    <w:rsid w:val="79886302"/>
    <w:rsid w:val="79DA8C0B"/>
    <w:rsid w:val="7A94B546"/>
    <w:rsid w:val="7B4C9DD7"/>
    <w:rsid w:val="7BAE840D"/>
    <w:rsid w:val="7D22AAD2"/>
    <w:rsid w:val="7F03B61B"/>
    <w:rsid w:val="7F14E4FA"/>
    <w:rsid w:val="7F73616B"/>
    <w:rsid w:val="7FB6F65D"/>
    <w:rsid w:val="7FD3D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2A85"/>
  <w15:chartTrackingRefBased/>
  <w15:docId w15:val="{36C1458C-072F-43DF-AD13-A7EED7F6D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ln"/>
    <w:rsid w:val="00A02E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  <w14:ligatures w14:val="none"/>
    </w:rPr>
  </w:style>
  <w:style w:type="character" w:customStyle="1" w:styleId="normaltextrun">
    <w:name w:val="normaltextrun"/>
    <w:basedOn w:val="Standardnpsmoodstavce"/>
    <w:rsid w:val="00A02EE3"/>
  </w:style>
  <w:style w:type="character" w:customStyle="1" w:styleId="eop">
    <w:name w:val="eop"/>
    <w:basedOn w:val="Standardnpsmoodstavce"/>
    <w:rsid w:val="00A02EE3"/>
  </w:style>
  <w:style w:type="paragraph" w:styleId="Zhlav">
    <w:name w:val="header"/>
    <w:basedOn w:val="Normln"/>
    <w:link w:val="ZhlavChar"/>
    <w:uiPriority w:val="99"/>
    <w:unhideWhenUsed/>
    <w:rsid w:val="00F25F3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25F3B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F25F3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25F3B"/>
    <w:rPr>
      <w:rFonts w:ascii="Calibri" w:hAnsi="Calibri" w:cs="Calibri"/>
      <w:kern w:val="0"/>
    </w:rPr>
  </w:style>
  <w:style w:type="paragraph" w:styleId="Normlnweb">
    <w:name w:val="Normal (Web)"/>
    <w:basedOn w:val="Normln"/>
    <w:uiPriority w:val="99"/>
    <w:semiHidden/>
    <w:unhideWhenUsed/>
    <w:rsid w:val="0080426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2023</Words>
  <Characters>11938</Characters>
  <Application>Microsoft Office Word</Application>
  <DocSecurity>0</DocSecurity>
  <Lines>99</Lines>
  <Paragraphs>27</Paragraphs>
  <ScaleCrop>false</ScaleCrop>
  <Company>Ministerstvo pro místní rozvoj</Company>
  <LinksUpToDate>false</LinksUpToDate>
  <CharactersWithSpaces>13934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Zdeňka Kučerová</cp:lastModifiedBy>
  <cp:revision>40</cp:revision>
  <cp:lastPrinted>2026-04-07T06:53:00Z</cp:lastPrinted>
  <dcterms:created xsi:type="dcterms:W3CDTF">2026-03-12T13:00:00Z</dcterms:created>
  <dcterms:modified xsi:type="dcterms:W3CDTF">2026-07-15T08:03:00Z</dcterms:modified>
</cp:coreProperties>
</file>