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939010D" w14:textId="59033F71" w:rsidR="00056B45" w:rsidRDefault="00056B45" w:rsidP="00056B45">
      <w:pPr>
        <w:jc w:val="center"/>
        <w:rPr>
          <w:rFonts w:ascii="Arial" w:hAnsi="Arial" w:cs="Arial"/>
          <w:b/>
        </w:rPr>
      </w:pPr>
      <w:bookmarkStart w:id="0" w:name="_Hlk58922937"/>
      <w:r w:rsidRPr="00EF20F0">
        <w:rPr>
          <w:rFonts w:ascii="Arial" w:hAnsi="Arial" w:cs="Arial"/>
          <w:b/>
        </w:rPr>
        <w:t>Čestné prohlášení</w:t>
      </w:r>
      <w:r w:rsidR="00F223CA" w:rsidRPr="00F223CA">
        <w:rPr>
          <w:rFonts w:ascii="Arial" w:hAnsi="Arial" w:cs="Arial"/>
          <w:b/>
        </w:rPr>
        <w:t xml:space="preserve"> žadatele o podporu v režimu </w:t>
      </w:r>
      <w:r w:rsidR="00F223CA">
        <w:rPr>
          <w:rFonts w:ascii="Arial" w:hAnsi="Arial" w:cs="Arial"/>
          <w:b/>
        </w:rPr>
        <w:t>„</w:t>
      </w:r>
      <w:r w:rsidR="00F223CA" w:rsidRPr="00F223CA">
        <w:rPr>
          <w:rFonts w:ascii="Arial" w:hAnsi="Arial" w:cs="Arial"/>
          <w:b/>
        </w:rPr>
        <w:t>de minimis</w:t>
      </w:r>
      <w:r w:rsidR="00F223CA">
        <w:rPr>
          <w:rFonts w:ascii="Arial" w:hAnsi="Arial" w:cs="Arial"/>
          <w:b/>
        </w:rPr>
        <w:t>“</w:t>
      </w:r>
      <w:r w:rsidR="00676054">
        <w:rPr>
          <w:rFonts w:ascii="Arial" w:hAnsi="Arial" w:cs="Arial"/>
          <w:b/>
        </w:rPr>
        <w:t xml:space="preserve"> nebo </w:t>
      </w:r>
      <w:r w:rsidR="00676054">
        <w:rPr>
          <w:rFonts w:ascii="Arial" w:hAnsi="Arial" w:cs="Arial"/>
          <w:b/>
        </w:rPr>
        <w:t>„</w:t>
      </w:r>
      <w:r w:rsidR="00676054" w:rsidRPr="00F223CA">
        <w:rPr>
          <w:rFonts w:ascii="Arial" w:hAnsi="Arial" w:cs="Arial"/>
          <w:b/>
        </w:rPr>
        <w:t>de minimis</w:t>
      </w:r>
      <w:r w:rsidR="00676054">
        <w:rPr>
          <w:rFonts w:ascii="Arial" w:hAnsi="Arial" w:cs="Arial"/>
          <w:b/>
        </w:rPr>
        <w:t xml:space="preserve"> SOHZ</w:t>
      </w:r>
      <w:r w:rsidR="00676054">
        <w:rPr>
          <w:rFonts w:ascii="Arial" w:hAnsi="Arial" w:cs="Arial"/>
          <w:b/>
        </w:rPr>
        <w:t>“</w:t>
      </w:r>
      <w:r w:rsidR="00676054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 xml:space="preserve">k akci financované z programu </w:t>
      </w:r>
      <w:r w:rsidR="00676054" w:rsidRPr="00B342B7">
        <w:rPr>
          <w:rFonts w:ascii="Arial" w:hAnsi="Arial" w:cs="Arial"/>
          <w:b/>
          <w:bCs/>
        </w:rPr>
        <w:t>Ukrajina – rozšíření veřejných ubytovacích kapacit pro akci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bookmarkEnd w:id="0"/>
    <w:p w14:paraId="11F22248" w14:textId="0DD60DF1" w:rsidR="00F223CA" w:rsidRDefault="00F223CA" w:rsidP="00F223C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F223CA" w:rsidRPr="00F223CA" w14:paraId="3A079CA9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FB1" w14:textId="53C0B179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13C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467D9E6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C45" w14:textId="212B1CDB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sz w:val="20"/>
                <w:szCs w:val="20"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A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7C16EAE2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B1" w14:textId="7FD1ACD1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1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3DE421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657B8F" w14:textId="77777777" w:rsidR="00F223CA" w:rsidRDefault="00F223CA" w:rsidP="00F223CA">
      <w:pPr>
        <w:pStyle w:val="Nadpis1"/>
      </w:pPr>
      <w:r>
        <w:t xml:space="preserve">Žadatel prohlašuje, že jako </w:t>
      </w:r>
      <w:r>
        <w:rPr>
          <w:u w:val="single"/>
        </w:rPr>
        <w:t>účetní období</w:t>
      </w:r>
      <w:r>
        <w:t xml:space="preserve"> používá</w:t>
      </w:r>
    </w:p>
    <w:p w14:paraId="53421848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</w:rPr>
      </w:pPr>
    </w:p>
    <w:p w14:paraId="29AA5B3F" w14:textId="5285C46C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kalendářní rok</w:t>
      </w:r>
    </w:p>
    <w:p w14:paraId="077B589B" w14:textId="77777777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223CA">
        <w:rPr>
          <w:rFonts w:ascii="Arial" w:hAnsi="Arial" w:cs="Arial"/>
          <w:bCs/>
          <w:sz w:val="20"/>
          <w:szCs w:val="20"/>
        </w:rPr>
        <w:t>(začátek ……………………., konec ……………………).</w:t>
      </w:r>
    </w:p>
    <w:p w14:paraId="2202E82F" w14:textId="77777777" w:rsidR="00F223CA" w:rsidRDefault="00F223CA" w:rsidP="00F223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4921D8D" w14:textId="77777777" w:rsidR="00F223CA" w:rsidRDefault="00F223CA" w:rsidP="00F223CA">
      <w:pPr>
        <w:pStyle w:val="Nadpis1"/>
      </w:pPr>
      <w:r>
        <w:t>Podniky</w:t>
      </w:r>
      <w:r>
        <w:rPr>
          <w:rStyle w:val="Znakapoznpodarou"/>
          <w:rFonts w:cs="Arial"/>
          <w:b w:val="0"/>
        </w:rPr>
        <w:footnoteReference w:id="1"/>
      </w:r>
      <w:r>
        <w:t xml:space="preserve"> propojené s žadatelem o podporu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F223CA" w:rsidRPr="00F223CA" w14:paraId="65204EDB" w14:textId="77777777" w:rsidTr="00F223CA">
        <w:trPr>
          <w:trHeight w:val="3881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931" w14:textId="77777777" w:rsidR="00F223CA" w:rsidRPr="00F223CA" w:rsidRDefault="00F223CA" w:rsidP="00F223C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</w:t>
            </w:r>
            <w:r w:rsidRPr="00F223C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jinými podniky, pokud i tyto subjekty mezi sebou mají některý z následujících vztahů: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F5C703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14:paraId="58E0B29A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14:paraId="3F30A92B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48D6ADB0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ED2155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8E99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223CA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14:paraId="7B754666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AB861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Do výčtu podniků propojených přímo či zprostředkovaně se žadatelem o podporu se zahrnují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osoby zapsané v základním registru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0CCB5AA1" w14:textId="77777777" w:rsidR="00BF23B8" w:rsidRDefault="00BF23B8" w:rsidP="00BF23B8">
      <w:pPr>
        <w:autoSpaceDE w:val="0"/>
        <w:autoSpaceDN w:val="0"/>
        <w:adjustRightInd w:val="0"/>
        <w:rPr>
          <w:rFonts w:ascii="Arial" w:hAnsi="Arial" w:cs="Arial"/>
        </w:rPr>
      </w:pPr>
    </w:p>
    <w:p w14:paraId="0624B886" w14:textId="0B6DC280" w:rsidR="00F223CA" w:rsidRPr="00BF23B8" w:rsidRDefault="00F223CA" w:rsidP="00BF23B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Žadatel prohlašuje, že </w:t>
      </w:r>
    </w:p>
    <w:p w14:paraId="5F5D80DD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9C7AF71" w14:textId="77777777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není ve výše uvedeném smyslu propojen s jiným podnikem.</w:t>
      </w:r>
    </w:p>
    <w:p w14:paraId="0CA255D3" w14:textId="1C4BAA61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je ve výše uvedeném smyslu propojen s následujícími podniky</w:t>
      </w:r>
    </w:p>
    <w:p w14:paraId="4AC335FA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88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520"/>
        <w:gridCol w:w="1915"/>
      </w:tblGrid>
      <w:tr w:rsidR="00F223CA" w:rsidRPr="00F223CA" w14:paraId="3BC34BA9" w14:textId="77777777" w:rsidTr="00BF23B8">
        <w:trPr>
          <w:trHeight w:val="279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5BF" w14:textId="063EA45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méno a příjmení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6A1" w14:textId="1E968876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AF2" w14:textId="53FF5F22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atum narození</w:t>
            </w:r>
          </w:p>
        </w:tc>
      </w:tr>
      <w:tr w:rsidR="00F223CA" w14:paraId="0C8130B4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51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C3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15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F5B474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539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F8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C5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50A2775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24E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E12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A2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CFE1CF8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CAA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4A7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2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DBF07A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3F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BD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94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CD2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05D4F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6C58ACB6" w14:textId="77777777" w:rsidR="00F223CA" w:rsidRDefault="00F223CA" w:rsidP="00F223C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BCA1" w14:textId="452813D2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spojením podniků či nabytím podniku</w:t>
      </w:r>
    </w:p>
    <w:p w14:paraId="4EDF1F5D" w14:textId="2D8D2EDD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223CA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3"/>
      </w:r>
      <w:r w:rsidRPr="00F223CA">
        <w:rPr>
          <w:rFonts w:ascii="Arial" w:hAnsi="Arial" w:cs="Arial"/>
          <w:bCs/>
          <w:sz w:val="20"/>
          <w:szCs w:val="20"/>
        </w:rPr>
        <w:t>) níže uvedených podniků</w:t>
      </w:r>
    </w:p>
    <w:p w14:paraId="60C3196F" w14:textId="34C4DA31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23CA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223CA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4"/>
      </w:r>
      <w:r w:rsidRPr="00F223CA">
        <w:rPr>
          <w:rFonts w:ascii="Arial" w:hAnsi="Arial" w:cs="Arial"/>
          <w:bCs/>
          <w:sz w:val="20"/>
          <w:szCs w:val="20"/>
        </w:rPr>
        <w:t xml:space="preserve">) 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223CA">
        <w:rPr>
          <w:rFonts w:ascii="Arial" w:hAnsi="Arial" w:cs="Arial"/>
          <w:bCs/>
          <w:sz w:val="20"/>
          <w:szCs w:val="20"/>
        </w:rPr>
        <w:t>níže uvedeného/</w:t>
      </w:r>
      <w:proofErr w:type="spellStart"/>
      <w:r w:rsidRPr="00F223CA">
        <w:rPr>
          <w:rFonts w:ascii="Arial" w:hAnsi="Arial" w:cs="Arial"/>
          <w:bCs/>
          <w:sz w:val="20"/>
          <w:szCs w:val="20"/>
        </w:rPr>
        <w:t>ých</w:t>
      </w:r>
      <w:proofErr w:type="spellEnd"/>
      <w:r w:rsidRPr="00F223CA">
        <w:rPr>
          <w:rFonts w:ascii="Arial" w:hAnsi="Arial" w:cs="Arial"/>
          <w:bCs/>
          <w:sz w:val="20"/>
          <w:szCs w:val="20"/>
        </w:rPr>
        <w:t xml:space="preserve"> podniku/ů</w:t>
      </w:r>
    </w:p>
    <w:p w14:paraId="37B3B1A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796"/>
        <w:gridCol w:w="1603"/>
      </w:tblGrid>
      <w:tr w:rsidR="00F223CA" w:rsidRPr="00F223CA" w14:paraId="0E50F841" w14:textId="77777777" w:rsidTr="00BF23B8">
        <w:trPr>
          <w:trHeight w:val="27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6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622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E5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1C77DAA3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E5E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44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3E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BD5B88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84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CB9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75B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425F627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25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DD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837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60E66C" w14:textId="77777777" w:rsidR="00F223CA" w:rsidRDefault="00F223CA" w:rsidP="00F223CA">
      <w:pPr>
        <w:rPr>
          <w:rFonts w:ascii="Arial" w:hAnsi="Arial" w:cs="Arial"/>
          <w:bCs/>
        </w:rPr>
      </w:pPr>
    </w:p>
    <w:p w14:paraId="0374962E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14:paraId="2AB20721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0AC83B1B" w14:textId="146A305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E90448A" w14:textId="1FFA5A3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FA231C8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C5CA2B7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18DB3740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2CE353E4" w14:textId="7DC55C78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5"/>
      </w:r>
      <w:r w:rsidRPr="00F223CA">
        <w:rPr>
          <w:rFonts w:ascii="Arial" w:hAnsi="Arial" w:cs="Arial"/>
          <w:bCs/>
          <w:sz w:val="20"/>
          <w:szCs w:val="20"/>
        </w:rPr>
        <w:t>) podniku</w:t>
      </w:r>
    </w:p>
    <w:p w14:paraId="281609CD" w14:textId="17796780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223CA">
        <w:rPr>
          <w:rFonts w:ascii="Arial" w:hAnsi="Arial" w:cs="Arial"/>
          <w:bCs/>
          <w:sz w:val="20"/>
          <w:szCs w:val="20"/>
        </w:rPr>
        <w:t xml:space="preserve"> níže uvedeného podniku</w:t>
      </w:r>
    </w:p>
    <w:p w14:paraId="7082CB3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604"/>
      </w:tblGrid>
      <w:tr w:rsidR="00F223CA" w:rsidRPr="00F223CA" w14:paraId="74E63E7D" w14:textId="77777777" w:rsidTr="00BF23B8">
        <w:trPr>
          <w:trHeight w:val="27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E8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25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F63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2604BC39" w14:textId="77777777" w:rsidTr="00BF23B8">
        <w:trPr>
          <w:trHeight w:val="308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65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DB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90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B5AB88" w14:textId="77777777" w:rsidR="00F223CA" w:rsidRDefault="00F223CA" w:rsidP="00F223CA">
      <w:pPr>
        <w:rPr>
          <w:rFonts w:ascii="Arial" w:hAnsi="Arial" w:cs="Arial"/>
          <w:bCs/>
        </w:rPr>
      </w:pPr>
    </w:p>
    <w:p w14:paraId="3A8230B3" w14:textId="354CA31C" w:rsidR="00F223CA" w:rsidRPr="00F223CA" w:rsidRDefault="00F223CA" w:rsidP="00BF23B8">
      <w:pPr>
        <w:ind w:left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223CA">
        <w:rPr>
          <w:rFonts w:ascii="Arial" w:hAnsi="Arial" w:cs="Arial"/>
          <w:bCs/>
          <w:i/>
          <w:sz w:val="20"/>
          <w:szCs w:val="20"/>
        </w:rPr>
        <w:t>de minimis</w:t>
      </w:r>
      <w:r w:rsidRPr="00F223CA">
        <w:rPr>
          <w:rFonts w:ascii="Arial" w:hAnsi="Arial" w:cs="Arial"/>
          <w:bCs/>
          <w:sz w:val="20"/>
          <w:szCs w:val="20"/>
        </w:rPr>
        <w:t xml:space="preserve"> použita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6"/>
      </w:r>
      <w:r w:rsidRPr="00F223CA">
        <w:rPr>
          <w:rFonts w:ascii="Arial" w:hAnsi="Arial" w:cs="Arial"/>
          <w:bCs/>
          <w:sz w:val="20"/>
          <w:szCs w:val="20"/>
        </w:rPr>
        <w:t>. Podniku (žadateli) byly přiděleny následující (dříve poskytnuté) podpory</w:t>
      </w:r>
    </w:p>
    <w:p w14:paraId="2F930C45" w14:textId="77777777" w:rsidR="00F223CA" w:rsidRDefault="00F223CA" w:rsidP="00F223CA">
      <w:pPr>
        <w:rPr>
          <w:rFonts w:ascii="Arial" w:hAnsi="Arial" w:cs="Arial"/>
          <w:bCs/>
        </w:rPr>
      </w:pPr>
    </w:p>
    <w:tbl>
      <w:tblPr>
        <w:tblW w:w="90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F223CA" w:rsidRPr="00F223CA" w14:paraId="04FBB19C" w14:textId="77777777" w:rsidTr="00BF23B8">
        <w:trPr>
          <w:trHeight w:val="27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EE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E76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215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F223CA" w:rsidRPr="00F223CA" w14:paraId="6B30915C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71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64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1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E23103A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ED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2F2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0E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916250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7D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C7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C7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105705FF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28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3F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78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2BB797" w14:textId="77777777" w:rsidR="00F223CA" w:rsidRDefault="00F223CA" w:rsidP="00F223CA">
      <w:pPr>
        <w:rPr>
          <w:rFonts w:ascii="Arial" w:hAnsi="Arial" w:cs="Arial"/>
          <w:bCs/>
        </w:rPr>
      </w:pPr>
    </w:p>
    <w:p w14:paraId="758DB3D7" w14:textId="536A9D91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14:paraId="583945C0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2835C053" w14:textId="67E602F9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120075F" w14:textId="7E0CFD9E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676054">
        <w:rPr>
          <w:rFonts w:ascii="Arial" w:hAnsi="Arial" w:cs="Arial"/>
          <w:b/>
          <w:bCs/>
          <w:sz w:val="20"/>
          <w:szCs w:val="20"/>
        </w:rPr>
      </w:r>
      <w:r w:rsidR="0067605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 xml:space="preserve">zohledněny v Centrálním registru podpor malého rozsahu </w:t>
      </w:r>
    </w:p>
    <w:p w14:paraId="34C78B79" w14:textId="77777777" w:rsidR="00F223CA" w:rsidRDefault="00F223CA" w:rsidP="00F223CA">
      <w:pPr>
        <w:rPr>
          <w:rFonts w:ascii="Arial" w:hAnsi="Arial" w:cs="Arial"/>
        </w:rPr>
      </w:pPr>
    </w:p>
    <w:p w14:paraId="663E7121" w14:textId="77777777" w:rsidR="00F223CA" w:rsidRDefault="00F223CA" w:rsidP="00BF23B8">
      <w:pPr>
        <w:pStyle w:val="Nadpis1"/>
      </w:pPr>
      <w:r>
        <w:t>Žadatel níže svým podpisem</w:t>
      </w:r>
    </w:p>
    <w:p w14:paraId="0486E678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14:paraId="46443726" w14:textId="77777777" w:rsidR="00F223CA" w:rsidRPr="00BF23B8" w:rsidRDefault="00F223CA" w:rsidP="00F223CA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204976E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se zavazuje k tomu, že v případě změny předmětných údajů v průběhu administrativního procesu poskytnutí podpory </w:t>
      </w:r>
      <w:r w:rsidRPr="00BF23B8">
        <w:rPr>
          <w:rFonts w:ascii="Arial" w:hAnsi="Arial" w:cs="Arial"/>
          <w:i/>
          <w:sz w:val="20"/>
          <w:szCs w:val="20"/>
        </w:rPr>
        <w:t>de minimis</w:t>
      </w:r>
      <w:r w:rsidRPr="00BF23B8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14:paraId="45321CA5" w14:textId="77777777" w:rsidR="00F223CA" w:rsidRPr="00BF23B8" w:rsidRDefault="00F223CA" w:rsidP="00F223CA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ab/>
      </w:r>
    </w:p>
    <w:p w14:paraId="2E81BCEF" w14:textId="0967DD6E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 w:rsidRPr="00BF23B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BF23B8">
        <w:rPr>
          <w:rFonts w:ascii="Arial" w:hAnsi="Arial" w:cs="Arial"/>
          <w:sz w:val="20"/>
          <w:szCs w:val="20"/>
        </w:rPr>
        <w:t xml:space="preserve">, kterým je </w:t>
      </w:r>
      <w:r w:rsidR="00D22C01">
        <w:rPr>
          <w:rFonts w:ascii="Arial" w:hAnsi="Arial" w:cs="Arial"/>
          <w:sz w:val="20"/>
          <w:szCs w:val="20"/>
        </w:rPr>
        <w:t>Ministerstvo pro místní rozvoj,</w:t>
      </w:r>
      <w:r w:rsidR="00D22C01" w:rsidRPr="00BF23B8">
        <w:rPr>
          <w:rFonts w:ascii="Arial" w:hAnsi="Arial" w:cs="Arial"/>
          <w:sz w:val="20"/>
          <w:szCs w:val="20"/>
        </w:rPr>
        <w:t xml:space="preserve"> </w:t>
      </w:r>
      <w:r w:rsidRPr="00BF23B8">
        <w:rPr>
          <w:rFonts w:ascii="Arial" w:hAnsi="Arial" w:cs="Arial"/>
          <w:sz w:val="20"/>
          <w:szCs w:val="20"/>
        </w:rPr>
        <w:t>pro všechny údaje obsažené v tomto prohlášení, a to po celou dobu 10 let ode dne udělení souhlasu. Zároveň si</w:t>
      </w:r>
      <w:bookmarkStart w:id="1" w:name="_GoBack"/>
      <w:bookmarkEnd w:id="1"/>
      <w:r w:rsidRPr="00BF23B8">
        <w:rPr>
          <w:rFonts w:ascii="Arial" w:hAnsi="Arial" w:cs="Arial"/>
          <w:sz w:val="20"/>
          <w:szCs w:val="20"/>
        </w:rPr>
        <w:t xml:space="preserve"> je žadatel vědom svých práv podle zákona č. 101/2000 Sb., o ochraně osobních údajů.</w:t>
      </w:r>
    </w:p>
    <w:p w14:paraId="4239F23E" w14:textId="77777777" w:rsidR="00F223CA" w:rsidRDefault="00F223CA" w:rsidP="00F223CA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223CA" w14:paraId="171372B8" w14:textId="77777777" w:rsidTr="00AD15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10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2CE" w14:textId="77777777" w:rsidR="00F223CA" w:rsidRDefault="00F223CA" w:rsidP="00AD1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D8B60F4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23CA" w14:paraId="7C6FF5BB" w14:textId="77777777" w:rsidTr="00AD15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BCE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</w:tr>
      <w:tr w:rsidR="00F223CA" w14:paraId="269294DD" w14:textId="77777777" w:rsidTr="00AD15BC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04E3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F5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97595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AF6" w14:textId="77777777" w:rsidR="00F223CA" w:rsidRDefault="00F223CA" w:rsidP="00AD15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44D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065A02D" w14:textId="77777777" w:rsidR="00F223CA" w:rsidRDefault="00F223CA" w:rsidP="00F223CA">
      <w:pPr>
        <w:spacing w:before="240"/>
        <w:rPr>
          <w:rFonts w:ascii="Arial" w:hAnsi="Arial" w:cs="Arial"/>
          <w:b/>
          <w:bCs/>
          <w:u w:val="single"/>
        </w:rPr>
      </w:pPr>
    </w:p>
    <w:p w14:paraId="4FA57771" w14:textId="183AA551" w:rsidR="00056B45" w:rsidRPr="001B6B19" w:rsidRDefault="00056B45" w:rsidP="00F223CA">
      <w:pPr>
        <w:jc w:val="both"/>
        <w:rPr>
          <w:rFonts w:ascii="Arial" w:hAnsi="Arial" w:cs="Arial"/>
          <w:sz w:val="20"/>
          <w:szCs w:val="20"/>
        </w:rPr>
      </w:pP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35BEB98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2">
    <w:p w14:paraId="70E098C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>.</w:t>
      </w:r>
    </w:p>
  </w:footnote>
  <w:footnote w:id="3">
    <w:p w14:paraId="73520C9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14:paraId="2DB9F844" w14:textId="77777777" w:rsidR="00F223CA" w:rsidRPr="003E773F" w:rsidRDefault="00F223CA" w:rsidP="00F223CA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5">
    <w:p w14:paraId="5276027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6">
    <w:p w14:paraId="1449B786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14:paraId="6B1241CE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minimis</w:t>
      </w:r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6"/>
  </w:num>
  <w:num w:numId="21">
    <w:abstractNumId w:val="5"/>
  </w:num>
  <w:num w:numId="22">
    <w:abstractNumId w:val="30"/>
  </w:num>
  <w:num w:numId="23">
    <w:abstractNumId w:val="8"/>
  </w:num>
  <w:num w:numId="24">
    <w:abstractNumId w:val="27"/>
  </w:num>
  <w:num w:numId="25">
    <w:abstractNumId w:val="4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3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A2CFC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B6E5D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605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8602C"/>
    <w:rsid w:val="00994309"/>
    <w:rsid w:val="009A1186"/>
    <w:rsid w:val="009A1C27"/>
    <w:rsid w:val="009A2A6B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23B8"/>
    <w:rsid w:val="00BF5EC6"/>
    <w:rsid w:val="00C01EDE"/>
    <w:rsid w:val="00C16777"/>
    <w:rsid w:val="00C62F34"/>
    <w:rsid w:val="00CE25B9"/>
    <w:rsid w:val="00D03672"/>
    <w:rsid w:val="00D22C01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223CA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51CD-AE60-4655-9531-9B59C616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4458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3</cp:revision>
  <cp:lastPrinted>2018-03-20T15:23:00Z</cp:lastPrinted>
  <dcterms:created xsi:type="dcterms:W3CDTF">2022-07-09T11:05:00Z</dcterms:created>
  <dcterms:modified xsi:type="dcterms:W3CDTF">2022-07-09T20:17:00Z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