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18" w:rsidRPr="00424BF6" w:rsidRDefault="00260EF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Metodický </w:t>
      </w:r>
      <w:r w:rsidR="00A93EA2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pokyn</w:t>
      </w:r>
      <w:r w:rsidR="00E8729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</w:p>
    <w:p w:rsidR="00E87299" w:rsidRPr="00E87299" w:rsidRDefault="00D55118" w:rsidP="00E872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cs-CZ"/>
        </w:rPr>
      </w:pPr>
      <w:r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k podprogramu </w:t>
      </w:r>
      <w:r w:rsidRPr="00E87299">
        <w:rPr>
          <w:rFonts w:ascii="Arial" w:eastAsia="Times New Roman" w:hAnsi="Arial" w:cs="Arial"/>
          <w:b/>
          <w:bCs/>
          <w:i/>
          <w:sz w:val="24"/>
          <w:szCs w:val="24"/>
          <w:lang w:eastAsia="cs-CZ"/>
        </w:rPr>
        <w:t>Podpora územně plánovacích dokumentací obcí</w:t>
      </w:r>
      <w:r w:rsidRPr="00E872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pro rok </w:t>
      </w:r>
      <w:r w:rsidR="00B06361"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201</w:t>
      </w:r>
      <w:r w:rsidR="004C4DE0"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9</w:t>
      </w:r>
      <w:r w:rsidR="00B06361" w:rsidRPr="00E8729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D55118" w:rsidRPr="00D55118" w:rsidRDefault="00E8729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- 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dotační titul </w:t>
      </w:r>
      <w:r w:rsidR="00D55118" w:rsidRPr="004C4DE0">
        <w:rPr>
          <w:rFonts w:ascii="Arial" w:eastAsia="Times New Roman" w:hAnsi="Arial" w:cs="Arial"/>
          <w:b/>
          <w:bCs/>
          <w:i/>
          <w:sz w:val="28"/>
          <w:szCs w:val="28"/>
          <w:lang w:eastAsia="cs-CZ"/>
        </w:rPr>
        <w:t>Územní plán</w:t>
      </w:r>
      <w:r w:rsidR="00D55118"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  <w:r w:rsidRPr="00D55118">
        <w:rPr>
          <w:rFonts w:ascii="Arial" w:eastAsia="Times New Roman" w:hAnsi="Arial" w:cs="Arial"/>
          <w:b/>
          <w:lang w:eastAsia="cs-CZ"/>
        </w:rPr>
        <w:t>Základní povinné náležitosti žádosti o dotaci</w:t>
      </w:r>
    </w:p>
    <w:p w:rsid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  <w:r w:rsidRPr="00D55118">
        <w:rPr>
          <w:rFonts w:ascii="Arial" w:eastAsia="Times New Roman" w:hAnsi="Arial" w:cs="Arial"/>
          <w:i/>
          <w:lang w:eastAsia="cs-CZ"/>
        </w:rPr>
        <w:t>(při podání žádosti o dotaci)</w:t>
      </w:r>
    </w:p>
    <w:p w:rsidR="00044ADD" w:rsidRPr="00D55118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</w:p>
    <w:p w:rsidR="00D55118" w:rsidRPr="00D55118" w:rsidRDefault="00D55118" w:rsidP="00BF0FFB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55118" w:rsidRPr="00FC1B9E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Žádosti o dotaci včetně příloh musí být</w:t>
      </w:r>
      <w:r w:rsidR="00A5414F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(kromě elektronického podání prostřednictvím internetové aplikace DIS ZAD)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doručeny nejpozději 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do</w:t>
      </w:r>
      <w:r w:rsidR="000E7A77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6D7F38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31</w:t>
      </w:r>
      <w:r w:rsidR="004C4DE0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. 1. 2019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4BCD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12:00 hod. 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>do podatelny Ministerstva pro místní rozvoj</w:t>
      </w:r>
      <w:r w:rsidR="004C338C"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(dále jen „MMR“)</w:t>
      </w:r>
      <w:r w:rsidRPr="00FC1B9E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:rsidR="00274D36" w:rsidRPr="00FC1B9E" w:rsidRDefault="00274D36" w:rsidP="001D7D3A">
      <w:pPr>
        <w:shd w:val="clear" w:color="auto" w:fill="FFFFFF"/>
        <w:spacing w:after="0" w:line="240" w:lineRule="auto"/>
        <w:ind w:right="-569"/>
        <w:jc w:val="both"/>
      </w:pPr>
    </w:p>
    <w:p w:rsidR="004C338C" w:rsidRPr="00FC1B9E" w:rsidRDefault="00274D36" w:rsidP="001D7D3A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FC1B9E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FC1B9E">
        <w:rPr>
          <w:rFonts w:ascii="Arial" w:hAnsi="Arial" w:cs="Arial"/>
          <w:sz w:val="20"/>
          <w:szCs w:val="20"/>
        </w:rPr>
        <w:t xml:space="preserve"> </w:t>
      </w:r>
    </w:p>
    <w:p w:rsidR="00D55118" w:rsidRPr="001A4BCD" w:rsidRDefault="001A4BCD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FC1B9E">
        <w:rPr>
          <w:rFonts w:ascii="Arial" w:hAnsi="Arial" w:cs="Arial"/>
          <w:sz w:val="20"/>
          <w:szCs w:val="20"/>
        </w:rPr>
        <w:t>P</w:t>
      </w:r>
      <w:r w:rsidR="00274D36" w:rsidRPr="00FC1B9E">
        <w:rPr>
          <w:rFonts w:ascii="Arial" w:hAnsi="Arial" w:cs="Arial"/>
          <w:sz w:val="20"/>
          <w:szCs w:val="20"/>
        </w:rPr>
        <w:t xml:space="preserve">říjem žádostí </w:t>
      </w:r>
      <w:r w:rsidRPr="00FC1B9E">
        <w:rPr>
          <w:rFonts w:ascii="Arial" w:hAnsi="Arial" w:cs="Arial"/>
          <w:sz w:val="20"/>
          <w:szCs w:val="20"/>
        </w:rPr>
        <w:t xml:space="preserve">do podatelny MMR, Staroměstské náměstí 6, 110 15 Praha 1, bude ukončen </w:t>
      </w:r>
      <w:r w:rsidR="00274D36" w:rsidRPr="00FC1B9E">
        <w:rPr>
          <w:rFonts w:ascii="Arial" w:hAnsi="Arial" w:cs="Arial"/>
          <w:sz w:val="20"/>
          <w:szCs w:val="20"/>
        </w:rPr>
        <w:t xml:space="preserve">dne </w:t>
      </w:r>
      <w:r w:rsidR="006D7F38" w:rsidRPr="00FC1B9E">
        <w:rPr>
          <w:rFonts w:ascii="Arial" w:hAnsi="Arial" w:cs="Arial"/>
          <w:sz w:val="20"/>
          <w:szCs w:val="20"/>
        </w:rPr>
        <w:t>31</w:t>
      </w:r>
      <w:r w:rsidR="004C4DE0" w:rsidRPr="00FC1B9E">
        <w:rPr>
          <w:rFonts w:ascii="Arial" w:hAnsi="Arial" w:cs="Arial"/>
          <w:sz w:val="20"/>
          <w:szCs w:val="20"/>
        </w:rPr>
        <w:t>.</w:t>
      </w:r>
      <w:r w:rsidR="005D16E3" w:rsidRPr="00FC1B9E">
        <w:rPr>
          <w:rFonts w:ascii="Arial" w:hAnsi="Arial" w:cs="Arial"/>
          <w:sz w:val="20"/>
          <w:szCs w:val="20"/>
        </w:rPr>
        <w:t xml:space="preserve"> </w:t>
      </w:r>
      <w:r w:rsidR="004C4DE0" w:rsidRPr="00FC1B9E">
        <w:rPr>
          <w:rFonts w:ascii="Arial" w:hAnsi="Arial" w:cs="Arial"/>
          <w:sz w:val="20"/>
          <w:szCs w:val="20"/>
        </w:rPr>
        <w:t>1.</w:t>
      </w:r>
      <w:r w:rsidR="005D16E3" w:rsidRPr="00FC1B9E">
        <w:rPr>
          <w:rFonts w:ascii="Arial" w:hAnsi="Arial" w:cs="Arial"/>
          <w:sz w:val="20"/>
          <w:szCs w:val="20"/>
        </w:rPr>
        <w:t xml:space="preserve"> </w:t>
      </w:r>
      <w:r w:rsidR="004C4DE0" w:rsidRPr="00FC1B9E">
        <w:rPr>
          <w:rFonts w:ascii="Arial" w:hAnsi="Arial" w:cs="Arial"/>
          <w:sz w:val="20"/>
          <w:szCs w:val="20"/>
        </w:rPr>
        <w:t>2019</w:t>
      </w:r>
      <w:r w:rsidR="00E4797E" w:rsidRPr="00FC1B9E">
        <w:rPr>
          <w:rFonts w:ascii="Arial" w:hAnsi="Arial" w:cs="Arial"/>
          <w:sz w:val="20"/>
          <w:szCs w:val="20"/>
        </w:rPr>
        <w:t xml:space="preserve"> </w:t>
      </w:r>
      <w:r w:rsidRPr="00FC1B9E">
        <w:rPr>
          <w:rFonts w:ascii="Arial" w:hAnsi="Arial" w:cs="Arial"/>
          <w:sz w:val="20"/>
          <w:szCs w:val="20"/>
        </w:rPr>
        <w:t>ve</w:t>
      </w:r>
      <w:r w:rsidR="00274D36" w:rsidRPr="00FC1B9E">
        <w:rPr>
          <w:rFonts w:ascii="Arial" w:hAnsi="Arial" w:cs="Arial"/>
          <w:sz w:val="20"/>
          <w:szCs w:val="20"/>
        </w:rPr>
        <w:t xml:space="preserve"> 12</w:t>
      </w:r>
      <w:r w:rsidRPr="00FC1B9E">
        <w:rPr>
          <w:rFonts w:ascii="Arial" w:hAnsi="Arial" w:cs="Arial"/>
          <w:sz w:val="20"/>
          <w:szCs w:val="20"/>
        </w:rPr>
        <w:t>:</w:t>
      </w:r>
      <w:r w:rsidR="00274D36" w:rsidRPr="00FC1B9E">
        <w:rPr>
          <w:rFonts w:ascii="Arial" w:hAnsi="Arial" w:cs="Arial"/>
          <w:sz w:val="20"/>
          <w:szCs w:val="20"/>
        </w:rPr>
        <w:t>00 hod</w:t>
      </w:r>
      <w:r w:rsidRPr="00FC1B9E">
        <w:rPr>
          <w:rFonts w:ascii="Arial" w:hAnsi="Arial" w:cs="Arial"/>
          <w:sz w:val="20"/>
          <w:szCs w:val="20"/>
        </w:rPr>
        <w:t>in</w:t>
      </w:r>
      <w:r w:rsidR="00274D36" w:rsidRPr="00FC1B9E">
        <w:rPr>
          <w:rFonts w:ascii="Arial" w:hAnsi="Arial" w:cs="Arial"/>
          <w:sz w:val="20"/>
          <w:szCs w:val="20"/>
        </w:rPr>
        <w:t>.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BF0FFB" w:rsidRDefault="00BF0FF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87299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Žádost včetně příloh je možné 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doručit</w:t>
      </w:r>
      <w:r w:rsidR="00554C1B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: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</w:t>
      </w:r>
    </w:p>
    <w:p w:rsidR="00554C1B" w:rsidRPr="00554C1B" w:rsidRDefault="00554C1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:rsidR="00D55118" w:rsidRPr="00554C1B" w:rsidRDefault="00D55118" w:rsidP="001D7D3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prostřednictvím datové schránky</w:t>
      </w:r>
      <w:r w:rsidR="004C338C"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x-none"/>
        </w:rPr>
        <w:t xml:space="preserve"> </w:t>
      </w:r>
      <w:r w:rsidR="004C338C" w:rsidRPr="00554C1B">
        <w:rPr>
          <w:rFonts w:ascii="Arial" w:eastAsia="Times New Roman" w:hAnsi="Arial" w:cs="Arial"/>
          <w:b/>
          <w:sz w:val="24"/>
          <w:szCs w:val="24"/>
          <w:lang w:eastAsia="x-none"/>
        </w:rPr>
        <w:t>MMR</w:t>
      </w: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:</w:t>
      </w:r>
      <w:r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x-none" w:eastAsia="x-none"/>
        </w:rPr>
        <w:t xml:space="preserve"> 26iaava</w:t>
      </w:r>
    </w:p>
    <w:p w:rsidR="00554C1B" w:rsidRDefault="00554C1B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</w:pPr>
    </w:p>
    <w:p w:rsidR="00D55118" w:rsidRDefault="00EE7F2A" w:rsidP="001D7D3A">
      <w:pPr>
        <w:spacing w:after="0" w:line="240" w:lineRule="auto"/>
        <w:ind w:right="-56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Upozorňujeme, že dokumenty zaslané prostřednictvím datové schránky</w:t>
      </w:r>
      <w:r w:rsidR="008E392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E4797E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(dále jen „DS“)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nahrazují originál jen v případě, že byly zaslány </w:t>
      </w:r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autorizovaně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zkonvertované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 w:rsidR="000B11E0" w:rsidRPr="00F17CE2">
        <w:rPr>
          <w:rFonts w:ascii="Arial" w:hAnsi="Arial" w:cs="Arial"/>
          <w:i/>
          <w:sz w:val="20"/>
          <w:szCs w:val="20"/>
        </w:rPr>
        <w:t xml:space="preserve"> 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V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ytištěním datové zprávy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, která neobsahuje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elektronickou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ověřovací doložku - elektronický podpis a časové razítko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je možné získat pouze kopii dokumentu, který nemá platnost originálu</w:t>
      </w:r>
      <w:r w:rsidR="00D41994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)</w:t>
      </w:r>
      <w:r w:rsidR="001D0E71" w:rsidRPr="00F17CE2">
        <w:rPr>
          <w:rFonts w:ascii="Arial" w:hAnsi="Arial" w:cs="Arial"/>
          <w:i/>
          <w:sz w:val="20"/>
          <w:szCs w:val="20"/>
        </w:rPr>
        <w:t xml:space="preserve"> </w:t>
      </w:r>
    </w:p>
    <w:p w:rsidR="00E87299" w:rsidRPr="00E87299" w:rsidRDefault="00E87299" w:rsidP="00E87299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257BC" w:rsidRPr="00554C1B" w:rsidRDefault="009257BC" w:rsidP="00E87299">
      <w:pPr>
        <w:pStyle w:val="Odstavecseseznamem"/>
        <w:numPr>
          <w:ilvl w:val="0"/>
          <w:numId w:val="9"/>
        </w:num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prostřednictvím </w:t>
      </w:r>
      <w:r w:rsidR="00EE7F2A"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>firmy poskytující poštovní služby či osobním doručením.</w:t>
      </w:r>
    </w:p>
    <w:p w:rsidR="009257BC" w:rsidRPr="00D55118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a stanovené doklady předá žadatel v nerozebíratelném provedení</w:t>
      </w:r>
      <w:r w:rsidR="00B063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(neplatí pro žádosti doručené prostřednictví DS</w:t>
      </w:r>
      <w:r w:rsidR="00372DC4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Přílohy budou seřazeny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očíslovány dle 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Seznamu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příloh.</w:t>
      </w:r>
    </w:p>
    <w:p w:rsidR="00B514A5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41994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  zákona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218/2000 Sb.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414F" w:rsidRPr="00A5414F">
        <w:rPr>
          <w:rFonts w:ascii="Arial" w:eastAsia="Times New Roman" w:hAnsi="Arial" w:cs="Arial"/>
          <w:sz w:val="20"/>
          <w:szCs w:val="20"/>
          <w:lang w:eastAsia="cs-CZ"/>
        </w:rPr>
        <w:t>o rozpočtových pravidlech a o změně některých souvisejících zákonů (rozpočtová pravidla)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 v platném znění,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(§ 18a </w:t>
      </w:r>
      <w:r w:rsidR="005D16E3">
        <w:rPr>
          <w:rFonts w:ascii="Arial" w:eastAsia="Times New Roman" w:hAnsi="Arial" w:cs="Arial"/>
          <w:sz w:val="20"/>
          <w:szCs w:val="20"/>
          <w:lang w:eastAsia="cs-CZ"/>
        </w:rPr>
        <w:t>rozpočtových pravidel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vyplývá povinnost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pro poskytovatele dotace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zveřejňování veškerých dokladů rozhodných pro přidělení dotace na </w:t>
      </w:r>
      <w:hyperlink r:id="rId8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4199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nascanované přílohy. Tyto </w:t>
      </w:r>
      <w:r w:rsidR="00D41994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budou odevzdány </w:t>
      </w:r>
      <w:r w:rsidR="005A7248">
        <w:rPr>
          <w:rFonts w:ascii="Arial" w:eastAsia="Times New Roman" w:hAnsi="Arial" w:cs="Arial"/>
          <w:sz w:val="20"/>
          <w:szCs w:val="20"/>
          <w:lang w:eastAsia="cs-CZ"/>
        </w:rPr>
        <w:t xml:space="preserve">rovněž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v listinné podobě</w:t>
      </w:r>
      <w:r w:rsidR="00B06361">
        <w:rPr>
          <w:rFonts w:ascii="Arial" w:eastAsia="Times New Roman" w:hAnsi="Arial" w:cs="Arial"/>
          <w:sz w:val="20"/>
          <w:szCs w:val="20"/>
          <w:lang w:eastAsia="cs-CZ"/>
        </w:rPr>
        <w:t xml:space="preserve"> /neplatí pro žádosti doručené prostřednictvím DS/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D55118" w:rsidRPr="00D55118" w:rsidRDefault="00D55118" w:rsidP="001D7D3A">
      <w:pPr>
        <w:shd w:val="clear" w:color="auto" w:fill="FFFFFF"/>
        <w:spacing w:after="0" w:line="240" w:lineRule="exact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5C5E68" w:rsidRDefault="00D55118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i/>
          <w:lang w:eastAsia="cs-CZ"/>
        </w:rPr>
        <w:t>Základní povinné náležitosti žádosti o dotaci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60"/>
        <w:gridCol w:w="5758"/>
      </w:tblGrid>
      <w:tr w:rsidR="00D55118" w:rsidRPr="00D55118" w:rsidTr="00D10762">
        <w:trPr>
          <w:cantSplit/>
          <w:trHeight w:val="20"/>
        </w:trPr>
        <w:tc>
          <w:tcPr>
            <w:tcW w:w="4007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331D19" w:rsidRDefault="00F23349" w:rsidP="00D10762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D55118"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yplněný a podepsaný </w:t>
            </w:r>
            <w:r w:rsidR="00331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D55118" w:rsidRPr="00F23349" w:rsidRDefault="00D55118" w:rsidP="00F23349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elektronický formulář žádosti.</w:t>
            </w:r>
          </w:p>
        </w:tc>
        <w:tc>
          <w:tcPr>
            <w:tcW w:w="5811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9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:rsidR="00D55118" w:rsidRPr="005A7248" w:rsidRDefault="00D55118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</w:p>
        </w:tc>
        <w:tc>
          <w:tcPr>
            <w:tcW w:w="5811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5A7248" w:rsidRDefault="009819AA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  <w:r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S</w:t>
            </w:r>
            <w:r w:rsidR="00D55118"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eznam příloh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5A7248" w:rsidRDefault="00D55118" w:rsidP="005A7248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Prohlášení žadatele, že nemá ke dni podání žádosti o dotaci závazky po době splatnosti ve vztahu ke státnímu rozpočtu nebo státním fondům.      </w:t>
            </w:r>
          </w:p>
        </w:tc>
        <w:tc>
          <w:tcPr>
            <w:tcW w:w="5811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6B27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</w:t>
            </w:r>
            <w:r w:rsidR="003857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0B11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B11E0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Mar>
              <w:top w:w="85" w:type="dxa"/>
              <w:bottom w:w="85" w:type="dxa"/>
            </w:tcMar>
          </w:tcPr>
          <w:p w:rsidR="003B51BF" w:rsidRPr="003B51BF" w:rsidRDefault="00D55118" w:rsidP="003B51BF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 xml:space="preserve">Smluvní zajištění nákupu služeb </w:t>
            </w:r>
          </w:p>
          <w:p w:rsidR="00D55118" w:rsidRPr="003B51BF" w:rsidRDefault="003B51BF" w:rsidP="005A7248">
            <w:pPr>
              <w:spacing w:before="120" w:after="12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5811" w:type="dxa"/>
            <w:tcMar>
              <w:top w:w="85" w:type="dxa"/>
              <w:bottom w:w="85" w:type="dxa"/>
            </w:tcMar>
          </w:tcPr>
          <w:p w:rsidR="00957C20" w:rsidRDefault="00D55118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 w:rsidRPr="009746B5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smlouvy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 </w:t>
            </w:r>
            <w:r w:rsidR="009819AA" w:rsidRPr="00D55118" w:rsidDel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územního plánu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(dále jen „ÚP“)</w:t>
            </w:r>
            <w:r w:rsidR="00957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D55118" w:rsidRDefault="00957C20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se zhotovitel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yhodnocení vlivů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udržitelný rozvoj územní (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VV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RÚ)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 s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posuzovatelem vlivů ÚP na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 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evropsky významnou lokalitu nebo ptačí oblast /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jsou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vyhodnocení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požadován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schváleném  zadání ÚP 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jsou řešen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jinou smlouvou, než smlouvou se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44ADD" w:rsidRPr="003B51B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včetně doložení příslušné autorizace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dílčích 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zhotovitelů/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posuzovatelů</w:t>
            </w:r>
            <w:r w:rsidR="00702881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–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  <w:r w:rsidR="00702881" w:rsidRPr="00CD77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kopie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D551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044ADD" w:rsidRPr="009C3E3F" w:rsidRDefault="00044ADD" w:rsidP="00E727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Smlouva se </w:t>
            </w:r>
            <w:r w:rsidR="009746B5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zhotovitele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m/projektantem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na zpracování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musí obsahovat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cenu v členění po jednotlivých fázích</w:t>
            </w:r>
            <w:r w:rsidR="003B51BF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/etapách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projednávání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E7278D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a informaci, že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bude zpracován dle zákona č. 183/2006 Sb., o územním plánování a stavením řádu (stavební zákon), ve znění pozdějších předpisů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906"/>
        </w:trPr>
        <w:tc>
          <w:tcPr>
            <w:tcW w:w="4007" w:type="dxa"/>
          </w:tcPr>
          <w:p w:rsidR="00CD772E" w:rsidRDefault="003B51BF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a)  </w:t>
            </w:r>
          </w:p>
          <w:p w:rsidR="003B51BF" w:rsidRPr="00CD772E" w:rsidRDefault="003B51BF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veřejné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zakázky malého rozsahu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prohlášení o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podmínek § 6 zákona o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zadávání veřejných zakázek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zákona o veřejných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zakázkách</w:t>
            </w:r>
            <w:r w:rsidRPr="00CD772E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a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výběru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dodavatele/zhotovitele</w:t>
            </w:r>
            <w:r w:rsidR="007028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zejména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 ohledem na  3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hospodárnost, efektivnost, účelnost) dle zákona č.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320/2001 Sb.,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kontrole, ve znění pozdějších předpisů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3B51BF" w:rsidRDefault="00CE51FD" w:rsidP="00CE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----------------------------------------------</w:t>
            </w:r>
          </w:p>
          <w:p w:rsidR="00CD772E" w:rsidRDefault="003B51BF" w:rsidP="00CD772E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145E96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D55118" w:rsidRPr="00CD772E" w:rsidRDefault="00D55118" w:rsidP="00CD772E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 případě podlimitní a nadlimitní veřejné zakázky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d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oklady týkající se veřejné zakázky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výběr dodavatele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</w:t>
            </w:r>
            <w:r w:rsidR="00BF0FFB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CE51FD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7278D" w:rsidRDefault="00E7278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E51FD" w:rsidRPr="001435D3" w:rsidRDefault="00CE51FD" w:rsidP="005A724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color w:val="CC0099"/>
                <w:sz w:val="20"/>
                <w:szCs w:val="20"/>
                <w:lang w:eastAsia="cs-CZ"/>
              </w:rPr>
            </w:pPr>
          </w:p>
          <w:p w:rsidR="00CE51FD" w:rsidRPr="004C6BD8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214" w:hanging="142"/>
              <w:jc w:val="both"/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*) 1. 10. 2016 nabyl účinnosti zákon č. 134/2016 Sb., Zákon o zadávání veřejných zakázek.</w:t>
            </w:r>
          </w:p>
          <w:p w:rsidR="00A24FD8" w:rsidRPr="00CE51FD" w:rsidRDefault="00CE51FD" w:rsidP="002F0E81">
            <w:pPr>
              <w:autoSpaceDE w:val="0"/>
              <w:autoSpaceDN w:val="0"/>
              <w:adjustRightInd w:val="0"/>
              <w:spacing w:before="120" w:after="120" w:line="240" w:lineRule="auto"/>
              <w:ind w:left="21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Do 30. 9. 2016 plat</w:t>
            </w:r>
            <w:r w:rsidR="002F0E81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il</w:t>
            </w: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 xml:space="preserve"> zákon č. 137/2006 Sb., Zákon o veřejných zakázkách.</w:t>
            </w:r>
          </w:p>
        </w:tc>
        <w:tc>
          <w:tcPr>
            <w:tcW w:w="5811" w:type="dxa"/>
          </w:tcPr>
          <w:p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B51BF" w:rsidRPr="00CD772E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Prohlášení žadatele (viz příloha č.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metodického pokynu)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2F0E81" w:rsidRDefault="002F0E81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2F0E81" w:rsidRDefault="002F0E81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----------------------------------------------------------------------------</w:t>
            </w:r>
          </w:p>
          <w:p w:rsidR="005A7248" w:rsidRDefault="005A724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  <w:p w:rsidR="00D55118" w:rsidRPr="00E7278D" w:rsidRDefault="00E7278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55118"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dokladů předkládá 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kterého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vztahuje zákon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134/2016 Sb.,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zadávání veřejných zakázek, ve znění pozdějších předpisů, nebo zákon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č.137/2006 Sb., o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veřejných zakázkách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ve znění pozdějších předpisů</w:t>
            </w:r>
            <w:r w:rsidR="003B51BF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24FD8" w:rsidRPr="00E7278D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E7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</w:p>
          <w:p w:rsidR="00D55118" w:rsidRPr="00D55118" w:rsidRDefault="00D55118" w:rsidP="00936F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</w:t>
            </w:r>
            <w:r w:rsidR="00B00FF1"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nebo jeho zplnomocněný zástupce se dostaví na základě výzvy správce programu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stanoveném termínu a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předloží veškeré dokumenty k výběrovému řízení 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3371D2">
        <w:tblPrEx>
          <w:tblCellMar>
            <w:top w:w="0" w:type="dxa"/>
            <w:bottom w:w="0" w:type="dxa"/>
          </w:tblCellMar>
        </w:tblPrEx>
        <w:trPr>
          <w:cantSplit/>
          <w:trHeight w:val="7085"/>
        </w:trPr>
        <w:tc>
          <w:tcPr>
            <w:tcW w:w="4007" w:type="dxa"/>
          </w:tcPr>
          <w:p w:rsidR="00D10762" w:rsidRDefault="000850F3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oklad o splnění kvalifikačních </w:t>
            </w:r>
            <w:r w:rsidR="00E7278D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požadavků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výkon územně plánovací činnosti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</w:t>
            </w:r>
          </w:p>
          <w:p w:rsidR="003C2B11" w:rsidRPr="00D10762" w:rsidRDefault="003C2B11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</w:tcPr>
          <w:p w:rsidR="00CF7FD9" w:rsidRDefault="00336317" w:rsidP="00CF7FD9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zajištění pořízení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příslušným úřadem územního plánování (sdělení/vyjádření/potvrzení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pořizování 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úřadem územního plánování v souladu se zákonem č. 183/2006 Sb.,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územním plánování a stavebním řádu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/stavební zákon/,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znění pozdějších předpisů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1E763C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,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371D2" w:rsidRPr="00DF5327" w:rsidRDefault="00D55118" w:rsidP="003371D2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splnění kvalifikačních požadavků úředníka obecního/městského</w:t>
            </w:r>
            <w:r w:rsid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(doložení osvědčení zkoušky odborné způsobilosti pro územní plánování 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praxe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příslušného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úředníka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F7FD9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CF7FD9" w:rsidRP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</w:t>
            </w:r>
          </w:p>
          <w:p w:rsidR="00CF7FD9" w:rsidRDefault="00D55118" w:rsidP="003371D2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o zajištění pořizování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fyzické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bude pořizování zajišťovat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 (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doložení osvědčení zkoušky odborné způsobilosti pro územní plánování a praxe příslušné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002B4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B11E0" w:rsidRPr="001435D3" w:rsidRDefault="00CF7FD9" w:rsidP="00DF532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je uzavřena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smyslu §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odst. 2 stavebního zákona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úředníka obecního/městského 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(osvědčení zvláštní odborné způsobilosti + kvalifikační požadavky vzdělání a praxe)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který vykonává činnost pořizovatele dle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uzavřené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</w:p>
        </w:tc>
      </w:tr>
      <w:tr w:rsidR="00D03F99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03F99" w:rsidRDefault="00D03F99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right="-249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5)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oklad o splnění kvalifikačních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předpokladů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zhotovitele/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/posuzovatele</w:t>
            </w:r>
          </w:p>
          <w:p w:rsidR="003C2B11" w:rsidRPr="003C2B11" w:rsidRDefault="003C2B11" w:rsidP="005A7248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</w:t>
            </w:r>
          </w:p>
        </w:tc>
        <w:tc>
          <w:tcPr>
            <w:tcW w:w="5811" w:type="dxa"/>
          </w:tcPr>
          <w:p w:rsidR="00E00476" w:rsidRDefault="001E763C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03F99"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03F99" w:rsidRP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autorizačního osvědčení</w:t>
            </w:r>
            <w:r w:rsidR="00E0047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E87932" w:rsidRDefault="00E87932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yhodnocení vlivů ÚP na URÚ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vlivů ÚP na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prostředí,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příp.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 ÚP</w:t>
            </w:r>
            <w:r w:rsidR="00D10762">
              <w:t xml:space="preserve"> </w:t>
            </w:r>
            <w:r w:rsidR="00D10762"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evropsky významnou lokalitu nebo ptačí oblast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příslušných autorizací.</w:t>
            </w:r>
          </w:p>
          <w:p w:rsidR="00D03F99" w:rsidRPr="009C3E3F" w:rsidRDefault="00E87932" w:rsidP="00E0792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Jsou-li 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tato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autoriza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ční osv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ě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dčení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součástí přílohy 2), není třeba je dále samostatně dokládat</w:t>
            </w:r>
            <w:r w:rsidR="001E763C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k příloze č. 5)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55118" w:rsidRDefault="00D55118" w:rsidP="00D10762">
            <w:pPr>
              <w:tabs>
                <w:tab w:val="left" w:pos="497"/>
              </w:tabs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6)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ýpis z usnesení zastupitelstva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obce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schválení zadání ÚP </w:t>
            </w:r>
            <w:r w:rsidR="0025548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schválené zadání ÚP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</w:tcPr>
          <w:p w:rsidR="00D55118" w:rsidRPr="009C3E3F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usnesení zastupitelstva o schválení zadání územního plánu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E2A6C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včetně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tohoto </w:t>
            </w:r>
            <w:r w:rsidR="00E87932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 xml:space="preserve">schváleného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zadání</w:t>
            </w:r>
            <w:r w:rsidR="001D7D3A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:rsidR="00E87932" w:rsidRPr="009C3E3F" w:rsidRDefault="00E87932" w:rsidP="009C3E3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Za schválené zadání je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považováno zadání, které bylo na základě výsledků projednání pořizovatelem ve spolupráci s určeným zastupitelem </w:t>
            </w:r>
            <w:r w:rsidR="00DF5533" w:rsidRPr="009C3E3F">
              <w:rPr>
                <w:rFonts w:ascii="Arial" w:eastAsia="Times New Roman" w:hAnsi="Arial" w:cs="Arial"/>
                <w:b/>
                <w:i/>
                <w:color w:val="148221"/>
                <w:sz w:val="20"/>
                <w:szCs w:val="20"/>
                <w:lang w:eastAsia="cs-CZ"/>
              </w:rPr>
              <w:t>upraveno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, předloženo ke schválení </w:t>
            </w:r>
            <w:r w:rsidR="000850F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 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a schváleno zastupitelstvem obce. 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55118" w:rsidRPr="003C2B11" w:rsidRDefault="003C2B11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hlášení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vlastních zdrojích účastníka, potřebných na dofinancování </w:t>
            </w:r>
            <w:r w:rsidR="005155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akce  -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návrhu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</w:p>
          <w:p w:rsidR="00D55118" w:rsidRPr="00D55118" w:rsidRDefault="00D55118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</w:p>
        </w:tc>
        <w:tc>
          <w:tcPr>
            <w:tcW w:w="5811" w:type="dxa"/>
          </w:tcPr>
          <w:p w:rsidR="00D55118" w:rsidRPr="00D55118" w:rsidRDefault="003C2B11" w:rsidP="006C19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vlastních finančních prostředcích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C1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čestné prohlášení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B66958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C1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bankovního účtu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66958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6C19F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/,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minimálně ve výši rozdílu mezi celkovou cenou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uznatelných nákladů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tj.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nákladů na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návrhu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společné jednání a pro veřejné projednání, případně i náklad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vyhodnocení vlivů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URÚ, je-li zadáním požadováno)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výší dotace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64FA0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3371D2" w:rsidRDefault="00664FA0" w:rsidP="00664FA0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8)    Doklad – krajská dotace, pokud byla </w:t>
            </w:r>
            <w:r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přiznána</w:t>
            </w:r>
            <w:r w:rsidR="003371D2"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</w:p>
          <w:p w:rsidR="00664FA0" w:rsidRDefault="00664FA0" w:rsidP="003371D2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</w:tcPr>
          <w:p w:rsidR="00664FA0" w:rsidRDefault="00664FA0" w:rsidP="00664F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4F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smlouvy/rozhodnutí o poskytnutí krajské dotace.</w:t>
            </w:r>
          </w:p>
        </w:tc>
      </w:tr>
    </w:tbl>
    <w:p w:rsidR="00E00476" w:rsidRDefault="00E00476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81380" w:rsidRDefault="00481380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Závazné termíny</w:t>
      </w:r>
    </w:p>
    <w:p w:rsidR="00481380" w:rsidRDefault="00481380" w:rsidP="00481380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E2A6C" w:rsidRPr="009C3E3F" w:rsidRDefault="000E2A6C" w:rsidP="00481380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 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„R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ealizace akce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50F3"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ukončení</w:t>
      </w:r>
    </w:p>
    <w:p w:rsidR="001435D3" w:rsidRPr="009C3E3F" w:rsidRDefault="000E2A6C" w:rsidP="00481380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Je závazným termínem pro příjemce dotace – jedná se o datum předání upraveného návrhu územního plánu pro veřejné projednání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pořizovateli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, který 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>příjemce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doloží předávacím protokolem o předání tohoto upraveného návrhu územního plánu pro veřejné projednání pořizovateli </w:t>
      </w:r>
      <w:r w:rsidRPr="009C3E3F">
        <w:rPr>
          <w:rFonts w:ascii="Arial" w:eastAsia="Times New Roman" w:hAnsi="Arial" w:cs="Arial"/>
          <w:sz w:val="20"/>
          <w:szCs w:val="20"/>
          <w:u w:val="single"/>
          <w:lang w:eastAsia="cs-CZ"/>
        </w:rPr>
        <w:t>(předávacím protokolem mezi zpracovatelem/obcí a pořizovatelem územního plánu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).  </w:t>
      </w:r>
    </w:p>
    <w:p w:rsidR="001435D3" w:rsidRPr="009C3E3F" w:rsidRDefault="001435D3" w:rsidP="004813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„Financování </w:t>
      </w:r>
      <w:r w:rsidR="000E2A6C"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akce</w:t>
      </w: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“ – ukončení </w:t>
      </w:r>
    </w:p>
    <w:p w:rsidR="00D55118" w:rsidRPr="009C3E3F" w:rsidRDefault="00796D42" w:rsidP="006C19F8">
      <w:pPr>
        <w:ind w:right="-569"/>
        <w:jc w:val="both"/>
        <w:rPr>
          <w:rFonts w:ascii="Arial" w:hAnsi="Arial" w:cs="Arial"/>
          <w:sz w:val="20"/>
          <w:szCs w:val="20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>e termín, po němž příjemce dotace nemůže provádět žádné další úhrady a musí mít ukončeno financování ze všech zdrojů</w:t>
      </w:r>
      <w:r w:rsidR="000E2A6C" w:rsidRPr="009C3E3F">
        <w:rPr>
          <w:rFonts w:ascii="Arial" w:hAnsi="Arial" w:cs="Arial"/>
          <w:sz w:val="20"/>
          <w:szCs w:val="20"/>
        </w:rPr>
        <w:t xml:space="preserve"> </w:t>
      </w:r>
      <w:r w:rsidR="001E763C" w:rsidRPr="009C3E3F">
        <w:rPr>
          <w:rFonts w:ascii="Arial" w:hAnsi="Arial" w:cs="Arial"/>
          <w:sz w:val="20"/>
          <w:szCs w:val="20"/>
        </w:rPr>
        <w:t xml:space="preserve">(tj. včetně proplacení dotace z Ministerstva pro místní rozvoj a proplacení faktur </w:t>
      </w:r>
      <w:r w:rsidR="00FA38F2" w:rsidRPr="009C3E3F">
        <w:rPr>
          <w:rFonts w:ascii="Arial" w:hAnsi="Arial" w:cs="Arial"/>
          <w:sz w:val="20"/>
          <w:szCs w:val="20"/>
        </w:rPr>
        <w:t>zhotoviteli/projektantovi</w:t>
      </w:r>
      <w:r w:rsidR="001E763C" w:rsidRPr="009C3E3F">
        <w:rPr>
          <w:rFonts w:ascii="Arial" w:hAnsi="Arial" w:cs="Arial"/>
          <w:sz w:val="20"/>
          <w:szCs w:val="20"/>
        </w:rPr>
        <w:t xml:space="preserve">).  </w:t>
      </w:r>
    </w:p>
    <w:p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:rsidR="00D41994" w:rsidRDefault="00796D42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e závazný termín, do kterého musí </w:t>
      </w:r>
      <w:r w:rsidR="00481380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nejpozději předložit </w:t>
      </w:r>
      <w:r w:rsidR="000850F3" w:rsidRPr="009C3E3F">
        <w:rPr>
          <w:rFonts w:ascii="Arial" w:eastAsia="Times New Roman" w:hAnsi="Arial" w:cs="Arial"/>
          <w:sz w:val="20"/>
          <w:szCs w:val="20"/>
          <w:lang w:eastAsia="cs-CZ"/>
        </w:rPr>
        <w:t>Ministerstvu pro místní rozvoj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dokumentaci k závěrečnému vyhodnocení akce. </w:t>
      </w:r>
    </w:p>
    <w:p w:rsidR="00481380" w:rsidRPr="009C3E3F" w:rsidRDefault="00481380" w:rsidP="004813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Pr="00D55118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Default="00D41994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Způsob financování</w:t>
      </w:r>
    </w:p>
    <w:p w:rsidR="00A5523A" w:rsidRPr="00481380" w:rsidRDefault="00A5523A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akce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bude prostřednictvím ČNB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=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otace bude poskytnuta příjemci na jeho bankovní účet </w:t>
      </w:r>
      <w:r>
        <w:rPr>
          <w:rFonts w:ascii="Arial" w:eastAsia="Times New Roman" w:hAnsi="Arial" w:cs="Arial"/>
          <w:sz w:val="20"/>
          <w:szCs w:val="20"/>
          <w:lang w:eastAsia="cs-CZ"/>
        </w:rPr>
        <w:t>vedený u ČNB. Úhrady faktur zhotovitelům/projektantům z jiného bankovního účtu obce je možné = nejedená se o porušení podmínek programu/podprogramu. Dokument Registrace akce a Rozhodnutí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poskytnutí dotace bude vydáván s typem financování Ex-ante. Změna způsobu financování z Ex-ante na Ex-post je možná a nejedná se o porušení podmínek programu/podprogramu.   </w:t>
      </w: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ante:</w:t>
      </w:r>
    </w:p>
    <w:p w:rsidR="00D41994" w:rsidRPr="00C10911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příjemci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originálů</w:t>
      </w:r>
      <w:r w:rsidR="00F34AAB">
        <w:rPr>
          <w:rFonts w:ascii="Arial" w:eastAsia="Times New Roman" w:hAnsi="Arial" w:cs="Arial"/>
          <w:sz w:val="20"/>
          <w:szCs w:val="20"/>
          <w:lang w:eastAsia="cs-CZ"/>
        </w:rPr>
        <w:t>, nebo ověřených kopií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neproplacených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4B1C">
        <w:rPr>
          <w:rFonts w:ascii="Arial" w:eastAsia="Times New Roman" w:hAnsi="Arial" w:cs="Arial"/>
          <w:sz w:val="20"/>
          <w:szCs w:val="20"/>
          <w:lang w:eastAsia="cs-CZ"/>
        </w:rPr>
        <w:t>(schválených a podepsaných příjemcem případně opatřených razítkem obce)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a originálů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ů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o předání návrhu územního plánu pro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společné jednání/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mezi </w:t>
      </w:r>
      <w:r>
        <w:rPr>
          <w:rFonts w:ascii="Arial" w:eastAsia="Times New Roman" w:hAnsi="Arial" w:cs="Arial"/>
          <w:sz w:val="20"/>
          <w:szCs w:val="20"/>
          <w:lang w:eastAsia="cs-CZ"/>
        </w:rPr>
        <w:t>zhotovitelem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/obcí a pořizovatelem územního plánu)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</w:t>
      </w:r>
      <w:r>
        <w:rPr>
          <w:rFonts w:ascii="Arial" w:eastAsia="Times New Roman" w:hAnsi="Arial" w:cs="Arial"/>
          <w:sz w:val="20"/>
          <w:szCs w:val="20"/>
          <w:lang w:eastAsia="cs-CZ"/>
        </w:rPr>
        <w:t>dopis/žádost o 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s identifikačními údaji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obce,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u ČNB. </w:t>
      </w: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148221"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Z důvodu administrace doporučujeme 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ve smlouvě se zhotovitelem/zpracovatelem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/projektantem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 xml:space="preserve"> územního plánu stanovit délku splatnosti faktur na 30 kalendářních dní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.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Při každé další žádosti o</w:t>
      </w:r>
      <w:r w:rsidR="006C19F8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 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uvolnění finančních prostředků (žádosti o proplacení další faktury) příjemce předloží doklad o úhradě předchozí </w:t>
      </w:r>
      <w:r w:rsidRPr="00A30B21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faktury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na účet zhotovitele (výpis z bankovního účtu).</w:t>
      </w:r>
    </w:p>
    <w:p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post:</w:t>
      </w:r>
    </w:p>
    <w:p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příjemci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>
        <w:rPr>
          <w:rFonts w:ascii="Arial" w:eastAsia="Times New Roman" w:hAnsi="Arial" w:cs="Arial"/>
          <w:sz w:val="20"/>
          <w:szCs w:val="20"/>
          <w:lang w:eastAsia="cs-CZ"/>
        </w:rPr>
        <w:t>kopií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proplacených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(schválených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podepsaných příjemcem případně opatřených razítkem obce), kopií bankovních výpisů (dokladů o úhradě z vlastních zdrojů na účet zhotovitele)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 originálů předávacích protokolů o předání návrhu územního plánu pro společné jednání/veřejné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mezi zhotovitelem/obcí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pořizovatelem územního plánu). 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dopis</w:t>
      </w:r>
      <w:r>
        <w:rPr>
          <w:rFonts w:ascii="Arial" w:eastAsia="Times New Roman" w:hAnsi="Arial" w:cs="Arial"/>
          <w:sz w:val="20"/>
          <w:szCs w:val="20"/>
          <w:lang w:eastAsia="cs-CZ"/>
        </w:rPr>
        <w:t>/žádost o uvolnění finančních prostředků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s identifikačními údaji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obce,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u ČNB.</w:t>
      </w:r>
    </w:p>
    <w:p w:rsidR="00D41994" w:rsidRPr="00C10911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A30B21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</w:pPr>
      <w:r w:rsidRPr="00A30B21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 xml:space="preserve">Pozn: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v</w:t>
      </w:r>
      <w:r w:rsidR="00F34AAB"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případě</w:t>
      </w:r>
      <w:r w:rsidR="00F34AAB"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 kdy se očekává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, že faktura bude obdržena v měsících roku 201</w:t>
      </w:r>
      <w:r w:rsidR="00372DC4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9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 avšak před Registrací akce a Rozhodnutím o poskytnutí dotace, je třeba délku splatnosti faktury stanovit s datem splatnosti po datu vydání Registrace akce a Rozhodnutí o poskytnutí dotace;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faktura se splatností před Registrací akce a</w:t>
      </w:r>
      <w:r w:rsidR="006C19F8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Rozhodnutím o poskytnutí dotace nebude proplacena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. </w:t>
      </w:r>
    </w:p>
    <w:p w:rsidR="00D41994" w:rsidRDefault="00D41994" w:rsidP="006C19F8">
      <w:pPr>
        <w:spacing w:after="0" w:line="240" w:lineRule="auto"/>
        <w:ind w:right="-569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Ministerstvo poskytne částku na účet příjemce ve lhůtě </w:t>
      </w:r>
      <w:r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dní od obdržení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úplné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žádosti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34AAB" w:rsidRDefault="00F34AAB" w:rsidP="006C19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A5523A" w:rsidRDefault="00D41994" w:rsidP="00A552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F34AAB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Bilance</w:t>
      </w:r>
      <w:r w:rsidR="00F34AAB" w:rsidRPr="00F34AA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potřeb a zdrojů financování</w:t>
      </w:r>
    </w:p>
    <w:p w:rsidR="003C2B11" w:rsidRDefault="003C2B11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7F" w:rsidRDefault="00A5523A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Bilanci potřeb a zdrojů financování žadatel volí v žádosti buď </w:t>
      </w:r>
      <w:r w:rsidRPr="00A5523A">
        <w:rPr>
          <w:rFonts w:ascii="Arial" w:eastAsia="Times New Roman" w:hAnsi="Arial" w:cs="Arial"/>
          <w:b/>
          <w:sz w:val="20"/>
          <w:szCs w:val="20"/>
          <w:lang w:eastAsia="cs-CZ"/>
        </w:rPr>
        <w:t>investiční</w:t>
      </w:r>
      <w:r w:rsidR="00A30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nebo </w:t>
      </w:r>
      <w:r w:rsidRPr="00A5523A">
        <w:rPr>
          <w:rFonts w:ascii="Arial" w:eastAsia="Times New Roman" w:hAnsi="Arial" w:cs="Arial"/>
          <w:b/>
          <w:sz w:val="20"/>
          <w:szCs w:val="20"/>
          <w:lang w:eastAsia="cs-CZ"/>
        </w:rPr>
        <w:t>neinvestiční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5523A">
        <w:rPr>
          <w:rFonts w:ascii="Arial" w:eastAsia="Times New Roman" w:hAnsi="Arial" w:cs="Arial"/>
          <w:sz w:val="20"/>
          <w:szCs w:val="20"/>
          <w:lang w:eastAsia="cs-CZ"/>
        </w:rPr>
        <w:t>(pouze jednu z možností)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to dle zvoleného způsobu účtování územního plánu v rámci účetnictví obce. Zvolený způsob financování je ponechán na účetní jednotce – obci, kde rozhodným hlediskem je zejména skutečnost, zda územní plán bude veden jako „plán rozvoje“ dle odst. 8, § 11 </w:t>
      </w:r>
      <w:r w:rsidR="00C02E7F">
        <w:rPr>
          <w:rFonts w:ascii="Arial" w:eastAsia="Times New Roman" w:hAnsi="Arial" w:cs="Arial"/>
          <w:sz w:val="20"/>
          <w:szCs w:val="20"/>
          <w:lang w:eastAsia="cs-CZ"/>
        </w:rPr>
        <w:t>vyhlášky č. 410/2009 Sb., k</w:t>
      </w:r>
      <w:r w:rsidR="00C02E7F" w:rsidRPr="00C02E7F">
        <w:rPr>
          <w:rFonts w:ascii="Arial" w:eastAsia="Times New Roman" w:hAnsi="Arial" w:cs="Arial"/>
          <w:sz w:val="20"/>
          <w:szCs w:val="20"/>
          <w:lang w:eastAsia="cs-CZ"/>
        </w:rPr>
        <w:t>terou se provádějí některá ustanovení zákona č. 563/1991 Sb., o účetnictví, ve znění pozdějších předpisů, pro některé vybrané účetní jednotky</w:t>
      </w:r>
      <w:r w:rsidR="00C02E7F">
        <w:rPr>
          <w:rFonts w:ascii="Arial" w:eastAsia="Times New Roman" w:hAnsi="Arial" w:cs="Arial"/>
          <w:sz w:val="20"/>
          <w:szCs w:val="20"/>
          <w:lang w:eastAsia="cs-CZ"/>
        </w:rPr>
        <w:t>, v platném znění, či nikoliv.</w:t>
      </w:r>
    </w:p>
    <w:p w:rsidR="00C02E7F" w:rsidRDefault="00C02E7F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C02E7F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Změna bilance je možná = </w:t>
      </w:r>
      <w:r w:rsidRPr="00C02E7F">
        <w:rPr>
          <w:rFonts w:ascii="Arial" w:eastAsia="Times New Roman" w:hAnsi="Arial" w:cs="Arial"/>
          <w:sz w:val="20"/>
          <w:szCs w:val="20"/>
          <w:lang w:eastAsia="cs-CZ"/>
        </w:rPr>
        <w:t>nejedená se o porušení podmínek programu/podprogramu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avšak o tuto změnu </w:t>
      </w:r>
      <w:r w:rsidRPr="00C02E7F">
        <w:rPr>
          <w:rFonts w:ascii="Arial" w:eastAsia="Times New Roman" w:hAnsi="Arial" w:cs="Arial"/>
          <w:sz w:val="20"/>
          <w:szCs w:val="20"/>
          <w:u w:val="single"/>
          <w:lang w:eastAsia="cs-CZ"/>
        </w:rPr>
        <w:t>musí být požádáno před první žádostí o proplacení dotace</w:t>
      </w: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139"/>
      </w:tblGrid>
      <w:tr w:rsidR="00D55118" w:rsidRPr="00D55118" w:rsidTr="001D7D3A">
        <w:trPr>
          <w:trHeight w:val="557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D55118" w:rsidRPr="00D55118" w:rsidRDefault="00D55118" w:rsidP="00372DC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Vyúčtování vztahů se státním rozpočtem </w:t>
            </w:r>
          </w:p>
        </w:tc>
      </w:tr>
      <w:tr w:rsidR="00D55118" w:rsidRPr="00D55118" w:rsidTr="001D7D3A">
        <w:trPr>
          <w:trHeight w:val="557"/>
        </w:trPr>
        <w:tc>
          <w:tcPr>
            <w:tcW w:w="9639" w:type="dxa"/>
            <w:gridSpan w:val="2"/>
            <w:vAlign w:val="center"/>
          </w:tcPr>
          <w:p w:rsidR="00A30B21" w:rsidRPr="00960A16" w:rsidRDefault="00D55118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Příjemce dotace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který financuje akci </w:t>
            </w:r>
            <w:r w:rsidR="00FA38F2"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způsobem Ex-ante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povinen </w:t>
            </w:r>
            <w:r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provést finanční vypořádání se státním rozpočtem</w:t>
            </w:r>
            <w:r w:rsidR="00A30B21"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="00A30B21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(dále jen „Vypořádání</w:t>
            </w:r>
            <w:r w:rsidR="00372DC4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Vypořádání se provádí podle</w:t>
            </w:r>
            <w:r w:rsidR="001F3007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§ </w:t>
            </w:r>
            <w:r w:rsidR="0009498F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9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č.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Sb.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zásad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lhůtách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finančního vypořádání vztahů se státním rozpočtem, státními finančními aktivy nebo Národním fondem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(vyhláška o finančním vypořádání), ve znění pozdějších předpisů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:rsidR="00A30B21" w:rsidRPr="00960A16" w:rsidRDefault="00A30B21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0A16">
              <w:rPr>
                <w:rFonts w:ascii="Arial" w:eastAsia="Times New Roman" w:hAnsi="Arial" w:cs="Arial"/>
                <w:color w:val="148221"/>
                <w:sz w:val="16"/>
                <w:szCs w:val="16"/>
                <w:lang w:eastAsia="cs-CZ"/>
              </w:rPr>
              <w:t>Pozn.: V případě, že Vypořádání bylo již doloženo v rámci závěrečného vyhodnocení akce, následně se již nedokládá.</w:t>
            </w:r>
          </w:p>
        </w:tc>
      </w:tr>
      <w:tr w:rsidR="00D55118" w:rsidRPr="00D55118" w:rsidTr="001D7D3A">
        <w:trPr>
          <w:trHeight w:val="557"/>
        </w:trPr>
        <w:tc>
          <w:tcPr>
            <w:tcW w:w="4500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Bližší specifikace přiložených dokladů</w:t>
            </w: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960A16">
        <w:trPr>
          <w:trHeight w:val="1504"/>
        </w:trPr>
        <w:tc>
          <w:tcPr>
            <w:tcW w:w="4500" w:type="dxa"/>
          </w:tcPr>
          <w:p w:rsidR="00D55118" w:rsidRPr="00960A16" w:rsidRDefault="00573F73" w:rsidP="00573F7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Finanční vypořádání dotací poskytnutých příjemcům přímo ze státního rozpočtu nebo státních finančních aktiv</w:t>
            </w:r>
          </w:p>
        </w:tc>
        <w:tc>
          <w:tcPr>
            <w:tcW w:w="5139" w:type="dxa"/>
          </w:tcPr>
          <w:p w:rsidR="00D55118" w:rsidRPr="00960A16" w:rsidRDefault="00D55118" w:rsidP="00573F73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Podle skutečného stavu vyplnit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tabulku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 xml:space="preserve">Finanční vypořádání dotací na 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ak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ce v rámci programového financování, na proje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kt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y výzkumu, vývoje a inovací a na proje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kt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y spolufinancov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a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né z rozpočtu Evropské unie a z prostředků finanč</w:t>
            </w:r>
            <w:r w:rsid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n</w:t>
            </w:r>
            <w:r w:rsidR="00573F73" w:rsidRPr="00573F73"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cs-CZ"/>
              </w:rPr>
              <w:t>ích mechanismů,</w:t>
            </w:r>
            <w:r w:rsidR="00573F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dle přílohy č</w:t>
            </w:r>
            <w:r w:rsid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 3</w:t>
            </w:r>
            <w:r w:rsidR="00573F73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/část B/ </w:t>
            </w:r>
            <w:r w:rsid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č. 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 Sb.</w:t>
            </w:r>
          </w:p>
        </w:tc>
      </w:tr>
    </w:tbl>
    <w:p w:rsidR="00960A16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60A16" w:rsidRPr="001A4BCD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A4BCD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960A16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povinen nejpozději do 3 let od 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>Registrace akce</w:t>
      </w:r>
      <w:r w:rsidR="00F70BAE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>Rozhodnutí o poskytnutí dotace zajistit vydání této územně plánovací dokumentace (územního plánu) včetně nabytí její účinnosti a zveřejnění na internetových stránkách obce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C19F8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>Územní plán bude označen informací, že byl spolufinancován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(VZOR: Územní plán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název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obce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byl spolufinancován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), a to na hlavním výkresu územního plánu a úvodní stránce textové části územního plánu. </w:t>
      </w:r>
    </w:p>
    <w:p w:rsidR="00960A16" w:rsidRPr="006C19F8" w:rsidRDefault="00960A16" w:rsidP="00F70BAE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Příjemce dotace je povinen informovat správce programu o případných změnách týkající se akce/projektu.</w:t>
      </w:r>
    </w:p>
    <w:p w:rsidR="00960A16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Příjemci jsou povinni archivovat všechny dokumenty související s</w:t>
      </w:r>
      <w:r w:rsidR="00B5661C">
        <w:rPr>
          <w:rFonts w:ascii="Arial" w:eastAsia="Times New Roman" w:hAnsi="Arial" w:cs="Arial"/>
          <w:sz w:val="20"/>
          <w:szCs w:val="20"/>
          <w:lang w:eastAsia="cs-CZ"/>
        </w:rPr>
        <w:t> akcí/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projektem minimálně 10 let od ukončení poslední platné podmínky. Archivace znamená uložení dokumentů do archivu pro možnost jejich opětovného použití a rychlého přístupu k nim. Dokumenty se archivují v písemné podobě, nebo na technických nosičích dat nebo mikrografických záznamech.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:rsidR="00960A16" w:rsidRDefault="00960A16" w:rsidP="001D7D3A">
      <w:pPr>
        <w:spacing w:after="0" w:line="240" w:lineRule="auto"/>
        <w:ind w:right="-569"/>
        <w:rPr>
          <w:rFonts w:ascii="Arial" w:eastAsia="Times New Roman" w:hAnsi="Arial" w:cs="Arial"/>
          <w:sz w:val="16"/>
          <w:szCs w:val="16"/>
          <w:lang w:eastAsia="cs-CZ"/>
        </w:rPr>
      </w:pPr>
    </w:p>
    <w:p w:rsidR="00D55118" w:rsidRPr="00960A16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Kontaktní osoby pro dotační titul </w:t>
      </w:r>
      <w:r w:rsidR="00B5661C"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Ú</w:t>
      </w: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zemní plán:</w:t>
      </w:r>
    </w:p>
    <w:p w:rsidR="001435D3" w:rsidRPr="00960A16" w:rsidRDefault="00D564FF" w:rsidP="00D5511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1681" wp14:editId="5C792548">
                <wp:simplePos x="0" y="0"/>
                <wp:positionH relativeFrom="column">
                  <wp:posOffset>23495</wp:posOffset>
                </wp:positionH>
                <wp:positionV relativeFrom="paragraph">
                  <wp:posOffset>56515</wp:posOffset>
                </wp:positionV>
                <wp:extent cx="2200275" cy="10191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12" w:rsidRPr="00960A16" w:rsidRDefault="00F73C12" w:rsidP="00F73C12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Ing. </w:t>
                            </w:r>
                            <w:r w:rsidR="00E34817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Lenka Veselá</w:t>
                            </w:r>
                          </w:p>
                          <w:p w:rsidR="00F73C12" w:rsidRPr="00960A16" w:rsidRDefault="00E34817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224 864 022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0" w:history="1">
                              <w:r w:rsidR="00E34817" w:rsidRPr="00832106">
                                <w:rPr>
                                  <w:rStyle w:val="Hypertextovodkaz"/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cs-CZ"/>
                                </w:rPr>
                                <w:t>Lenka.Vesela@mmr.cz</w:t>
                              </w:r>
                            </w:hyperlink>
                            <w:r w:rsidRPr="00960A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3C12" w:rsidRPr="00960A16" w:rsidRDefault="00E34817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Mgr</w:t>
                            </w:r>
                            <w:r w:rsidR="00F73C12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Jana </w:t>
                            </w:r>
                            <w:r w:rsidR="00F73C12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.</w:t>
                            </w:r>
                            <w:r w:rsidR="00F73C12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Nováko</w:t>
                            </w:r>
                            <w:r w:rsidR="00F73C12"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vá </w:t>
                            </w:r>
                          </w:p>
                          <w:p w:rsidR="00F73C12" w:rsidRPr="00960A16" w:rsidRDefault="00E34817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224 864 008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r w:rsidR="00E348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Jana</w:t>
                            </w: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.</w:t>
                            </w:r>
                            <w:r w:rsidR="00E3481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Novak</w:t>
                            </w: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ova@mmr.cz</w:t>
                            </w:r>
                          </w:p>
                          <w:p w:rsidR="00F73C12" w:rsidRDefault="00F7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1168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.85pt;margin-top:4.45pt;width:173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">
                <v:textbox>
                  <w:txbxContent>
                    <w:p w:rsidR="00F73C12" w:rsidRPr="00960A16" w:rsidRDefault="00F73C12" w:rsidP="00F73C12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Ing. </w:t>
                      </w:r>
                      <w:r w:rsidR="00E34817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Lenka Veselá</w:t>
                      </w:r>
                    </w:p>
                    <w:p w:rsidR="00F73C12" w:rsidRPr="00960A16" w:rsidRDefault="00E34817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224 864 022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1" w:history="1">
                        <w:r w:rsidR="00E34817" w:rsidRPr="00832106">
                          <w:rPr>
                            <w:rStyle w:val="Hypertextovodkaz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cs-CZ"/>
                          </w:rPr>
                          <w:t>Lenka.Vesela@mmr.cz</w:t>
                        </w:r>
                      </w:hyperlink>
                      <w:r w:rsidRPr="00960A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3C12" w:rsidRPr="00960A16" w:rsidRDefault="00E34817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Mgr</w:t>
                      </w:r>
                      <w:r w:rsidR="00F73C12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.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Jana </w:t>
                      </w:r>
                      <w:r w:rsidR="00F73C12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E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.</w:t>
                      </w:r>
                      <w:r w:rsidR="00F73C12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Nováko</w:t>
                      </w:r>
                      <w:r w:rsidR="00F73C12"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vá </w:t>
                      </w:r>
                    </w:p>
                    <w:p w:rsidR="00F73C12" w:rsidRPr="00960A16" w:rsidRDefault="00E34817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224 864 008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r w:rsidR="00E34817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Jana</w:t>
                      </w: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.</w:t>
                      </w:r>
                      <w:r w:rsidR="00E34817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Novak</w:t>
                      </w: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ova@mmr.cz</w:t>
                      </w:r>
                    </w:p>
                    <w:p w:rsidR="00F73C12" w:rsidRDefault="00F73C12"/>
                  </w:txbxContent>
                </v:textbox>
              </v:shape>
            </w:pict>
          </mc:Fallback>
        </mc:AlternateContent>
      </w:r>
    </w:p>
    <w:p w:rsidR="009D5927" w:rsidRPr="00960A16" w:rsidRDefault="00D55118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                      </w:t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bookmarkStart w:id="0" w:name="_GoBack"/>
      <w:bookmarkEnd w:id="0"/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D7E0A" w:rsidRDefault="00CD7E0A" w:rsidP="009D5927">
      <w:pPr>
        <w:spacing w:after="0" w:line="240" w:lineRule="auto"/>
        <w:ind w:firstLine="212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85291F" w:rsidRPr="00960A16" w:rsidRDefault="00154615" w:rsidP="0015461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Ministerstvo pro místní rozvoj ČR, Staroměstské náměstí 6, 110 15 Praha 1, </w:t>
      </w:r>
      <w:hyperlink r:id="rId12" w:history="1">
        <w:r w:rsidR="003262F9" w:rsidRPr="00B277A4">
          <w:rPr>
            <w:rStyle w:val="Hypertextovodkaz"/>
            <w:rFonts w:ascii="Arial" w:eastAsia="Times New Roman" w:hAnsi="Arial" w:cs="Arial"/>
            <w:bCs/>
            <w:sz w:val="16"/>
            <w:szCs w:val="16"/>
            <w:lang w:eastAsia="cs-CZ"/>
          </w:rPr>
          <w:t>www.mmr.cz</w:t>
        </w:r>
      </w:hyperlink>
      <w:r w:rsidR="003262F9">
        <w:rPr>
          <w:rFonts w:ascii="Arial" w:eastAsia="Times New Roman" w:hAnsi="Arial" w:cs="Arial"/>
          <w:bCs/>
          <w:sz w:val="16"/>
          <w:szCs w:val="16"/>
          <w:lang w:eastAsia="cs-CZ"/>
        </w:rPr>
        <w:t>, IDDS:26iaava</w:t>
      </w:r>
    </w:p>
    <w:p w:rsidR="00D55118" w:rsidRPr="0082686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1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Podpora územně plánovacích dokumentací obcí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 rok </w:t>
      </w:r>
      <w:r w:rsidR="00825828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201</w:t>
      </w:r>
      <w:r w:rsidR="003262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9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>Já,</w:t>
      </w:r>
      <w:r w:rsidR="005204BA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jméno,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titul)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………..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.................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žadatel </w:t>
      </w:r>
      <w:r w:rsidR="00A52DFD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825828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 w:rsidR="005204BA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5204BA" w:rsidRDefault="00D55118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prohlašuji,</w:t>
      </w:r>
    </w:p>
    <w:p w:rsidR="005204BA" w:rsidRP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55118" w:rsidRPr="00D50C5E" w:rsidRDefault="005204BA" w:rsidP="00432679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na </w:t>
      </w:r>
      <w:r w:rsidR="00D55118" w:rsidRPr="005204BA">
        <w:rPr>
          <w:rFonts w:ascii="Arial" w:eastAsia="Times New Roman" w:hAnsi="Arial" w:cs="Arial"/>
          <w:sz w:val="28"/>
          <w:szCs w:val="28"/>
          <w:lang w:eastAsia="cs-CZ"/>
        </w:rPr>
        <w:t>akci</w:t>
      </w:r>
      <w:r w:rsidR="00A52DFD" w:rsidRPr="005204BA">
        <w:rPr>
          <w:rFonts w:ascii="Arial" w:eastAsia="Times New Roman" w:hAnsi="Arial" w:cs="Arial"/>
          <w:sz w:val="28"/>
          <w:szCs w:val="28"/>
          <w:lang w:eastAsia="cs-CZ"/>
        </w:rPr>
        <w:t>/projekt</w:t>
      </w:r>
      <w:r w:rsidR="004326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55118"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nemá žadatel závazky po době splatnosti ve vztahu ke státnímu rozpočtu, státním fondům, zdravotní pojišťovně nebo bankám.</w:t>
      </w:r>
    </w:p>
    <w:p w:rsidR="00D55118" w:rsidRPr="00432679" w:rsidRDefault="00D55118" w:rsidP="00A52DF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</w:t>
      </w:r>
      <w:r w:rsidR="00E07920" w:rsidRPr="00432679">
        <w:rPr>
          <w:rFonts w:ascii="Arial" w:eastAsia="Times New Roman" w:hAnsi="Arial" w:cs="Arial"/>
          <w:sz w:val="28"/>
          <w:szCs w:val="28"/>
          <w:lang w:eastAsia="cs-CZ"/>
        </w:rPr>
        <w:t>…..</w:t>
      </w:r>
    </w:p>
    <w:p w:rsidR="00D55118" w:rsidRPr="00432679" w:rsidRDefault="00D55118" w:rsidP="00432679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(datum</w:t>
      </w:r>
      <w:r w:rsidR="001435D3" w:rsidRPr="00432679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432679">
        <w:rPr>
          <w:rFonts w:ascii="Arial" w:eastAsia="Times New Roman" w:hAnsi="Arial" w:cs="Arial"/>
          <w:sz w:val="28"/>
          <w:szCs w:val="28"/>
          <w:lang w:eastAsia="cs-CZ"/>
        </w:rPr>
        <w:t xml:space="preserve"> razítko a podpis žadatele)</w:t>
      </w: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0C5E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0619" w:rsidRDefault="002C0619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</w:pPr>
    </w:p>
    <w:p w:rsidR="005C5E68" w:rsidRPr="008268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t>Příloha č. 2</w:t>
      </w:r>
    </w:p>
    <w:p w:rsidR="00826868" w:rsidRPr="005C5E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5C5E68" w:rsidRPr="005C5E68" w:rsidTr="003F2343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5C5E68" w:rsidRPr="002C0619" w:rsidRDefault="005C5E68" w:rsidP="005C5E6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eastAsia="cs-CZ"/>
              </w:rPr>
            </w:pPr>
            <w:r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Výběr dodavatele</w:t>
            </w:r>
            <w:r w:rsidR="001435D3"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/zhotovitele ÚP</w:t>
            </w:r>
          </w:p>
        </w:tc>
      </w:tr>
    </w:tbl>
    <w:p w:rsidR="005C5E68" w:rsidRPr="003262F9" w:rsidRDefault="005C5E68" w:rsidP="002C0619">
      <w:pPr>
        <w:spacing w:before="120" w:after="0" w:line="240" w:lineRule="auto"/>
        <w:jc w:val="center"/>
        <w:rPr>
          <w:rFonts w:ascii="Arial" w:eastAsia="Times New Roman" w:hAnsi="Arial" w:cs="Arial"/>
          <w:i/>
          <w:sz w:val="28"/>
          <w:szCs w:val="28"/>
          <w:lang w:val="en-GB" w:eastAsia="cs-CZ"/>
        </w:rPr>
      </w:pPr>
      <w:r w:rsidRPr="005C5E68">
        <w:rPr>
          <w:rFonts w:ascii="Arial" w:eastAsia="Times New Roman" w:hAnsi="Arial" w:cs="Arial"/>
          <w:sz w:val="28"/>
          <w:szCs w:val="28"/>
          <w:lang w:eastAsia="cs-CZ"/>
        </w:rPr>
        <w:t>dle režimu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 xml:space="preserve"> </w:t>
      </w:r>
      <w:r w:rsidR="00796D42" w:rsidRPr="003262F9">
        <w:rPr>
          <w:rFonts w:ascii="Arial" w:eastAsia="Times New Roman" w:hAnsi="Arial" w:cs="Arial"/>
          <w:b/>
          <w:i/>
          <w:sz w:val="28"/>
          <w:szCs w:val="28"/>
          <w:lang w:eastAsia="cs-CZ"/>
        </w:rPr>
        <w:t>veřejná zakázka</w:t>
      </w:r>
      <w:r w:rsidRPr="003262F9">
        <w:rPr>
          <w:rFonts w:ascii="Arial" w:eastAsia="Times New Roman" w:hAnsi="Arial" w:cs="Arial"/>
          <w:b/>
          <w:i/>
          <w:sz w:val="28"/>
          <w:szCs w:val="28"/>
          <w:lang w:eastAsia="cs-CZ"/>
        </w:rPr>
        <w:t xml:space="preserve"> malého rozsahu</w:t>
      </w: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4"/>
      </w:tblGrid>
      <w:tr w:rsidR="005C5E68" w:rsidRPr="005C5E68" w:rsidTr="003F2343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5C5E68" w:rsidRPr="00432679" w:rsidRDefault="005C5E68" w:rsidP="0085291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1435D3"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akce/</w:t>
            </w: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projektu</w:t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5C5E68" w:rsidRPr="005C5E68" w:rsidTr="003F2343">
        <w:trPr>
          <w:trHeight w:val="576"/>
        </w:trPr>
        <w:tc>
          <w:tcPr>
            <w:tcW w:w="1584" w:type="pct"/>
            <w:vAlign w:val="center"/>
          </w:tcPr>
          <w:p w:rsidR="005C5E68" w:rsidRPr="00432679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5E68" w:rsidRPr="005C5E68" w:rsidTr="003F2343">
        <w:tc>
          <w:tcPr>
            <w:tcW w:w="2943" w:type="dxa"/>
          </w:tcPr>
          <w:p w:rsidR="005C5E68" w:rsidRPr="00FE1459" w:rsidRDefault="001435D3" w:rsidP="001435D3">
            <w:pPr>
              <w:spacing w:before="12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Popis</w:t>
            </w:r>
            <w:r w:rsidR="005C5E68" w:rsidRPr="00FE145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výběru dodavatele</w:t>
            </w: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/zhotovitele územního plánu</w:t>
            </w:r>
          </w:p>
          <w:p w:rsidR="005C5E68" w:rsidRPr="00D50C5E" w:rsidRDefault="005C5E68" w:rsidP="00D50C5E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(žadatel popíše, jakým způsobem rozhodl, o výběru dodavatele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/zhotovitele ÚP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např. byl proveden průzkum trhu, nebo žadatel oslovil několik 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projektantů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s žádostí </w:t>
            </w:r>
            <w:r w:rsidR="00D50C5E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o 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zpracování územního plánu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atd.)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6269" w:type="dxa"/>
          </w:tcPr>
          <w:p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C5E68" w:rsidRPr="003262F9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val="en-GB" w:eastAsia="cs-CZ"/>
        </w:rPr>
      </w:pP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Prohlášení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k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financované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z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programu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3262F9">
        <w:rPr>
          <w:rFonts w:ascii="Arial" w:eastAsia="Times New Roman" w:hAnsi="Arial" w:cs="Arial"/>
          <w:b/>
          <w:i/>
          <w:sz w:val="24"/>
          <w:szCs w:val="24"/>
          <w:lang w:eastAsia="cs-CZ"/>
        </w:rPr>
        <w:t>Podpora územně plánovacích činností obcí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2679" w:rsidRDefault="005C5E68" w:rsidP="005C5E68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(příjmení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jméno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titul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>.......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……………………………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50C5E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C5110" w:rsidRDefault="003169FE" w:rsidP="0043267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(název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 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sídlo, IČ obce</w:t>
      </w:r>
      <w:r w:rsidR="005C5E68"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...............................................................................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C5E68"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prohlašuji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že při výběru dodavatele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/zhotovitele územního plánu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169FE" w:rsidRPr="00D50C5E" w:rsidRDefault="003169FE" w:rsidP="003169FE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byly dodrženy zásady transparentnosti a přiměřenosti, rovného zacházení a zákazu diskriminace dle zákona č. 134/2016 Sb., 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>ákon o zadávání veřejných zakázek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)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 </w:t>
      </w:r>
    </w:p>
    <w:p w:rsidR="003C5110" w:rsidRPr="003C5110" w:rsidRDefault="005C5E68" w:rsidP="003C5110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>byly dodrženy zásady transparentnosti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rovného zacházení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zákazu diskriminace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137/2006 Sb., </w:t>
      </w:r>
      <w:r w:rsidR="00FE145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>ákon o veřejných zakázkách</w:t>
      </w:r>
      <w:r w:rsidR="00D50C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169FE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)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……………………………………………………………………</w:t>
      </w:r>
    </w:p>
    <w:p w:rsidR="00D55118" w:rsidRDefault="005C5E68" w:rsidP="00D50C5E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(datum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razítko a podpis žadatele)</w:t>
      </w:r>
    </w:p>
    <w:p w:rsidR="00FE1459" w:rsidRDefault="00FE1459" w:rsidP="00FE145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</w:p>
    <w:p w:rsidR="00432679" w:rsidRPr="00FE1459" w:rsidRDefault="00FE1459" w:rsidP="00FE1459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  <w:r w:rsidRPr="00FE1459"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  <w:t>zaškrtněte jen jednu z možností</w:t>
      </w:r>
    </w:p>
    <w:sectPr w:rsidR="00432679" w:rsidRPr="00FE1459" w:rsidSect="00AC4B33">
      <w:headerReference w:type="default" r:id="rId13"/>
      <w:footerReference w:type="even" r:id="rId14"/>
      <w:footerReference w:type="default" r:id="rId15"/>
      <w:pgSz w:w="11906" w:h="16838" w:code="9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87" w:rsidRDefault="00C11987" w:rsidP="00D55118">
      <w:pPr>
        <w:spacing w:after="0" w:line="240" w:lineRule="auto"/>
      </w:pPr>
      <w:r>
        <w:separator/>
      </w:r>
    </w:p>
  </w:endnote>
  <w:endnote w:type="continuationSeparator" w:id="0">
    <w:p w:rsidR="00C11987" w:rsidRDefault="00C11987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675A" w:rsidRDefault="00C119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34817">
      <w:rPr>
        <w:rStyle w:val="slostrnky"/>
        <w:noProof/>
      </w:rPr>
      <w:t>1</w:t>
    </w:r>
    <w:r>
      <w:rPr>
        <w:rStyle w:val="slostrnky"/>
      </w:rPr>
      <w:fldChar w:fldCharType="end"/>
    </w:r>
  </w:p>
  <w:p w:rsidR="0098675A" w:rsidRDefault="00C119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87" w:rsidRDefault="00C11987" w:rsidP="00D55118">
      <w:pPr>
        <w:spacing w:after="0" w:line="240" w:lineRule="auto"/>
      </w:pPr>
      <w:r>
        <w:separator/>
      </w:r>
    </w:p>
  </w:footnote>
  <w:footnote w:type="continuationSeparator" w:id="0">
    <w:p w:rsidR="00C11987" w:rsidRDefault="00C11987" w:rsidP="00D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2B42384F" wp14:editId="2676ED91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DA"/>
    <w:multiLevelType w:val="hybridMultilevel"/>
    <w:tmpl w:val="7DE66502"/>
    <w:lvl w:ilvl="0" w:tplc="B7BE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F64E9"/>
    <w:multiLevelType w:val="hybridMultilevel"/>
    <w:tmpl w:val="6D5CD832"/>
    <w:lvl w:ilvl="0" w:tplc="7F3C912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12F6D"/>
    <w:multiLevelType w:val="hybridMultilevel"/>
    <w:tmpl w:val="5052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D5817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5612B"/>
    <w:multiLevelType w:val="hybridMultilevel"/>
    <w:tmpl w:val="938CF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72DC1"/>
    <w:multiLevelType w:val="hybridMultilevel"/>
    <w:tmpl w:val="AED81314"/>
    <w:lvl w:ilvl="0" w:tplc="A47E03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B53087"/>
    <w:multiLevelType w:val="hybridMultilevel"/>
    <w:tmpl w:val="393C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8"/>
    <w:rsid w:val="0001304A"/>
    <w:rsid w:val="0002424D"/>
    <w:rsid w:val="00044ADD"/>
    <w:rsid w:val="000850F3"/>
    <w:rsid w:val="00085620"/>
    <w:rsid w:val="00090536"/>
    <w:rsid w:val="00093F5A"/>
    <w:rsid w:val="0009498F"/>
    <w:rsid w:val="000A542C"/>
    <w:rsid w:val="000B11E0"/>
    <w:rsid w:val="000E2A6C"/>
    <w:rsid w:val="000E6A04"/>
    <w:rsid w:val="000E7A77"/>
    <w:rsid w:val="0011322D"/>
    <w:rsid w:val="001435D3"/>
    <w:rsid w:val="00145E96"/>
    <w:rsid w:val="001511A1"/>
    <w:rsid w:val="00154615"/>
    <w:rsid w:val="001871F4"/>
    <w:rsid w:val="001A4BCD"/>
    <w:rsid w:val="001D0E71"/>
    <w:rsid w:val="001D7D3A"/>
    <w:rsid w:val="001E763C"/>
    <w:rsid w:val="001F3007"/>
    <w:rsid w:val="00254BEF"/>
    <w:rsid w:val="00255487"/>
    <w:rsid w:val="00260EF9"/>
    <w:rsid w:val="00274D36"/>
    <w:rsid w:val="00284A3C"/>
    <w:rsid w:val="002C0619"/>
    <w:rsid w:val="002F0E81"/>
    <w:rsid w:val="003169FE"/>
    <w:rsid w:val="003262F9"/>
    <w:rsid w:val="00331D19"/>
    <w:rsid w:val="00336317"/>
    <w:rsid w:val="003371D2"/>
    <w:rsid w:val="0034658B"/>
    <w:rsid w:val="00372DC4"/>
    <w:rsid w:val="00375FE5"/>
    <w:rsid w:val="00385774"/>
    <w:rsid w:val="003B51BF"/>
    <w:rsid w:val="003C2B11"/>
    <w:rsid w:val="003C5110"/>
    <w:rsid w:val="004205A3"/>
    <w:rsid w:val="00424BF6"/>
    <w:rsid w:val="00432679"/>
    <w:rsid w:val="00454DAD"/>
    <w:rsid w:val="00481380"/>
    <w:rsid w:val="0048443F"/>
    <w:rsid w:val="00487A10"/>
    <w:rsid w:val="004A0B4C"/>
    <w:rsid w:val="004A1DA1"/>
    <w:rsid w:val="004C2AD1"/>
    <w:rsid w:val="004C338C"/>
    <w:rsid w:val="004C4DE0"/>
    <w:rsid w:val="004C6BD8"/>
    <w:rsid w:val="004D1EF5"/>
    <w:rsid w:val="004F4EF9"/>
    <w:rsid w:val="00515515"/>
    <w:rsid w:val="005204BA"/>
    <w:rsid w:val="00554C1B"/>
    <w:rsid w:val="00573F73"/>
    <w:rsid w:val="0057595A"/>
    <w:rsid w:val="00580CAE"/>
    <w:rsid w:val="005A7248"/>
    <w:rsid w:val="005C5E68"/>
    <w:rsid w:val="005D074D"/>
    <w:rsid w:val="005D16E3"/>
    <w:rsid w:val="00630692"/>
    <w:rsid w:val="006344D0"/>
    <w:rsid w:val="00635E2E"/>
    <w:rsid w:val="00664A69"/>
    <w:rsid w:val="00664FA0"/>
    <w:rsid w:val="00677AFE"/>
    <w:rsid w:val="00694595"/>
    <w:rsid w:val="006B2796"/>
    <w:rsid w:val="006C19F8"/>
    <w:rsid w:val="006D7F38"/>
    <w:rsid w:val="006F67AE"/>
    <w:rsid w:val="0070105D"/>
    <w:rsid w:val="00702881"/>
    <w:rsid w:val="00707E26"/>
    <w:rsid w:val="0071091C"/>
    <w:rsid w:val="00750CBA"/>
    <w:rsid w:val="00766CB3"/>
    <w:rsid w:val="007677E2"/>
    <w:rsid w:val="00796D42"/>
    <w:rsid w:val="00825828"/>
    <w:rsid w:val="00826868"/>
    <w:rsid w:val="008461A0"/>
    <w:rsid w:val="008474DE"/>
    <w:rsid w:val="0085291F"/>
    <w:rsid w:val="00876F3E"/>
    <w:rsid w:val="008C4B1C"/>
    <w:rsid w:val="008D72EC"/>
    <w:rsid w:val="008E3922"/>
    <w:rsid w:val="00917BAA"/>
    <w:rsid w:val="009257BC"/>
    <w:rsid w:val="00926174"/>
    <w:rsid w:val="00936F78"/>
    <w:rsid w:val="00957C20"/>
    <w:rsid w:val="00960A16"/>
    <w:rsid w:val="009740B9"/>
    <w:rsid w:val="00974687"/>
    <w:rsid w:val="009746B5"/>
    <w:rsid w:val="009819AA"/>
    <w:rsid w:val="009C3E3F"/>
    <w:rsid w:val="009C6584"/>
    <w:rsid w:val="009D5927"/>
    <w:rsid w:val="009D7AE8"/>
    <w:rsid w:val="00A002B4"/>
    <w:rsid w:val="00A02C15"/>
    <w:rsid w:val="00A10694"/>
    <w:rsid w:val="00A24FD8"/>
    <w:rsid w:val="00A30B21"/>
    <w:rsid w:val="00A354C6"/>
    <w:rsid w:val="00A37221"/>
    <w:rsid w:val="00A51209"/>
    <w:rsid w:val="00A52DFD"/>
    <w:rsid w:val="00A5414F"/>
    <w:rsid w:val="00A5523A"/>
    <w:rsid w:val="00A93EA2"/>
    <w:rsid w:val="00AB70A5"/>
    <w:rsid w:val="00AC4B33"/>
    <w:rsid w:val="00B00FF1"/>
    <w:rsid w:val="00B06361"/>
    <w:rsid w:val="00B066A1"/>
    <w:rsid w:val="00B11695"/>
    <w:rsid w:val="00B514A5"/>
    <w:rsid w:val="00B53965"/>
    <w:rsid w:val="00B5661C"/>
    <w:rsid w:val="00B57A29"/>
    <w:rsid w:val="00B66958"/>
    <w:rsid w:val="00B93804"/>
    <w:rsid w:val="00B96E26"/>
    <w:rsid w:val="00BB7DF7"/>
    <w:rsid w:val="00BC2FCC"/>
    <w:rsid w:val="00BF0FFB"/>
    <w:rsid w:val="00C02E7F"/>
    <w:rsid w:val="00C10911"/>
    <w:rsid w:val="00C11987"/>
    <w:rsid w:val="00C17151"/>
    <w:rsid w:val="00C87FB1"/>
    <w:rsid w:val="00CD772E"/>
    <w:rsid w:val="00CD7E0A"/>
    <w:rsid w:val="00CE1333"/>
    <w:rsid w:val="00CE51FD"/>
    <w:rsid w:val="00CF7FD9"/>
    <w:rsid w:val="00D03F99"/>
    <w:rsid w:val="00D10762"/>
    <w:rsid w:val="00D129F4"/>
    <w:rsid w:val="00D41994"/>
    <w:rsid w:val="00D50C5E"/>
    <w:rsid w:val="00D55118"/>
    <w:rsid w:val="00D564FF"/>
    <w:rsid w:val="00D71BC2"/>
    <w:rsid w:val="00D970B3"/>
    <w:rsid w:val="00DA290F"/>
    <w:rsid w:val="00DF45E6"/>
    <w:rsid w:val="00DF5327"/>
    <w:rsid w:val="00DF5533"/>
    <w:rsid w:val="00E00476"/>
    <w:rsid w:val="00E07920"/>
    <w:rsid w:val="00E34817"/>
    <w:rsid w:val="00E4462A"/>
    <w:rsid w:val="00E4797E"/>
    <w:rsid w:val="00E7278D"/>
    <w:rsid w:val="00E76B1D"/>
    <w:rsid w:val="00E87299"/>
    <w:rsid w:val="00E87932"/>
    <w:rsid w:val="00E92083"/>
    <w:rsid w:val="00EA3B9E"/>
    <w:rsid w:val="00EE6C7B"/>
    <w:rsid w:val="00EE7F2A"/>
    <w:rsid w:val="00EF44F6"/>
    <w:rsid w:val="00F00D23"/>
    <w:rsid w:val="00F17CE2"/>
    <w:rsid w:val="00F23349"/>
    <w:rsid w:val="00F34AAB"/>
    <w:rsid w:val="00F6441B"/>
    <w:rsid w:val="00F70BAE"/>
    <w:rsid w:val="00F73C12"/>
    <w:rsid w:val="00F85F08"/>
    <w:rsid w:val="00FA38F2"/>
    <w:rsid w:val="00FC0CD8"/>
    <w:rsid w:val="00FC1B9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E0F0B"/>
  <w15:docId w15:val="{97163642-8149-4B31-B1BC-EAA20CF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nka.Vesela@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enka.Vesela@mm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BBB60-E14D-457F-BFD8-A65F9D87A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2259</Words>
  <Characters>13331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Veselá Lenka</cp:lastModifiedBy>
  <cp:revision>3</cp:revision>
  <cp:lastPrinted>2017-10-12T10:59:00Z</cp:lastPrinted>
  <dcterms:created xsi:type="dcterms:W3CDTF">2019-06-06T11:08:00Z</dcterms:created>
  <dcterms:modified xsi:type="dcterms:W3CDTF">2019-06-06T11:12:00Z</dcterms:modified>
</cp:coreProperties>
</file>