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19489CDE" w14:textId="18894546" w:rsidR="0000141D" w:rsidRPr="0000141D" w:rsidRDefault="000655B2" w:rsidP="0000141D">
      <w:pPr>
        <w:ind w:firstLine="22"/>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B337C1">
        <w:rPr>
          <w:rFonts w:ascii="Arial" w:eastAsia="Arial" w:hAnsi="Arial" w:cs="Arial"/>
          <w:b/>
          <w:bCs/>
          <w:sz w:val="32"/>
          <w:szCs w:val="32"/>
          <w:lang w:eastAsia="cs-CZ"/>
        </w:rPr>
        <w:t>metodika/metodičky</w:t>
      </w:r>
      <w:r w:rsidR="007416E2">
        <w:rPr>
          <w:rFonts w:ascii="Arial" w:eastAsia="Arial" w:hAnsi="Arial" w:cs="Arial"/>
          <w:b/>
          <w:bCs/>
          <w:sz w:val="32"/>
          <w:szCs w:val="32"/>
          <w:lang w:eastAsia="cs-CZ"/>
        </w:rPr>
        <w:t xml:space="preserve"> </w:t>
      </w:r>
      <w:r w:rsidR="00B337C1">
        <w:rPr>
          <w:rFonts w:ascii="Arial" w:eastAsia="Arial" w:hAnsi="Arial" w:cs="Arial"/>
          <w:b/>
          <w:bCs/>
          <w:sz w:val="32"/>
          <w:szCs w:val="32"/>
          <w:lang w:eastAsia="cs-CZ"/>
        </w:rPr>
        <w:t>územní dimenze</w:t>
      </w:r>
      <w:r w:rsidR="00E90D97" w:rsidRPr="00E90D97">
        <w:rPr>
          <w:rFonts w:ascii="Arial" w:eastAsia="Arial" w:hAnsi="Arial" w:cs="Arial"/>
          <w:b/>
          <w:bCs/>
          <w:sz w:val="32"/>
          <w:szCs w:val="32"/>
          <w:lang w:eastAsia="cs-CZ"/>
        </w:rPr>
        <w:t>,</w:t>
      </w:r>
      <w:r w:rsidR="00E90D97" w:rsidRPr="00A90FB8">
        <w:rPr>
          <w:rFonts w:ascii="Arial" w:eastAsia="Arial" w:hAnsi="Arial" w:cs="Arial"/>
          <w:b/>
          <w:bCs/>
          <w:sz w:val="32"/>
          <w:szCs w:val="32"/>
          <w:lang w:eastAsia="cs-CZ"/>
        </w:rPr>
        <w:t> </w:t>
      </w:r>
      <w:r w:rsidR="00B337C1">
        <w:rPr>
          <w:rFonts w:ascii="Arial" w:eastAsia="Arial" w:hAnsi="Arial" w:cs="Arial"/>
          <w:b/>
          <w:bCs/>
          <w:sz w:val="32"/>
          <w:szCs w:val="32"/>
          <w:lang w:eastAsia="cs-CZ"/>
        </w:rPr>
        <w:t xml:space="preserve">oddělení řízení strategie regionálního rozvoje, </w:t>
      </w:r>
      <w:r w:rsidR="00847E0F">
        <w:rPr>
          <w:rFonts w:ascii="Arial" w:eastAsia="Arial" w:hAnsi="Arial" w:cs="Arial"/>
          <w:b/>
          <w:bCs/>
          <w:sz w:val="32"/>
          <w:szCs w:val="32"/>
          <w:lang w:eastAsia="cs-CZ"/>
        </w:rPr>
        <w:t>odbor regionální politiky</w:t>
      </w:r>
      <w:r w:rsidR="00E90D97" w:rsidRPr="00E90D97">
        <w:rPr>
          <w:rFonts w:ascii="Arial" w:eastAsia="Arial" w:hAnsi="Arial" w:cs="Arial"/>
          <w:b/>
          <w:bCs/>
          <w:sz w:val="32"/>
          <w:szCs w:val="32"/>
          <w:lang w:eastAsia="cs-CZ"/>
        </w:rPr>
        <w:t>, MMR_</w:t>
      </w:r>
      <w:r w:rsidR="00B337C1">
        <w:rPr>
          <w:rFonts w:ascii="Arial" w:eastAsia="Arial" w:hAnsi="Arial" w:cs="Arial"/>
          <w:b/>
          <w:bCs/>
          <w:sz w:val="32"/>
          <w:szCs w:val="32"/>
          <w:lang w:eastAsia="cs-CZ"/>
        </w:rPr>
        <w:t>729</w:t>
      </w:r>
    </w:p>
    <w:p w14:paraId="6E0CE021" w14:textId="7BDE5534" w:rsidR="000655B2" w:rsidRPr="00E90D97" w:rsidRDefault="000655B2" w:rsidP="000655B2">
      <w:pPr>
        <w:autoSpaceDE w:val="0"/>
        <w:autoSpaceDN w:val="0"/>
        <w:adjustRightInd w:val="0"/>
        <w:spacing w:after="0" w:line="240" w:lineRule="auto"/>
        <w:rPr>
          <w:rFonts w:ascii="Arial" w:hAnsi="Arial" w:cs="Arial"/>
        </w:rPr>
      </w:pPr>
    </w:p>
    <w:p w14:paraId="31884228" w14:textId="42B34BCE" w:rsidR="00B865FF" w:rsidRPr="001662C6" w:rsidRDefault="00660F1A" w:rsidP="00B865FF">
      <w:pPr>
        <w:spacing w:after="0" w:line="240" w:lineRule="auto"/>
        <w:ind w:left="4956" w:firstLine="708"/>
        <w:rPr>
          <w:rFonts w:ascii="Arial" w:hAnsi="Arial" w:cs="Arial"/>
        </w:rPr>
      </w:pPr>
      <w:r w:rsidRPr="001662C6">
        <w:rPr>
          <w:rFonts w:ascii="Arial" w:hAnsi="Arial" w:cs="Arial"/>
        </w:rPr>
        <w:t xml:space="preserve">Č. j.: </w:t>
      </w:r>
      <w:r w:rsidR="00AE5840" w:rsidRPr="001662C6">
        <w:rPr>
          <w:rFonts w:ascii="Arial" w:hAnsi="Arial" w:cs="Arial"/>
        </w:rPr>
        <w:t>MMR-</w:t>
      </w:r>
      <w:r w:rsidR="00482FED" w:rsidRPr="00482FED">
        <w:rPr>
          <w:rFonts w:ascii="Arial" w:hAnsi="Arial" w:cs="Arial"/>
        </w:rPr>
        <w:t>46650</w:t>
      </w:r>
      <w:r w:rsidR="00DD540E" w:rsidRPr="001662C6">
        <w:rPr>
          <w:rFonts w:ascii="Arial" w:hAnsi="Arial" w:cs="Arial"/>
        </w:rPr>
        <w:t>/202</w:t>
      </w:r>
      <w:r w:rsidR="001662C6" w:rsidRPr="001662C6">
        <w:rPr>
          <w:rFonts w:ascii="Arial" w:hAnsi="Arial" w:cs="Arial"/>
        </w:rPr>
        <w:t>5</w:t>
      </w:r>
      <w:r w:rsidR="00DD540E" w:rsidRPr="001662C6">
        <w:rPr>
          <w:rFonts w:ascii="Arial" w:hAnsi="Arial" w:cs="Arial"/>
        </w:rPr>
        <w:t>-94</w:t>
      </w:r>
    </w:p>
    <w:p w14:paraId="33290785" w14:textId="736AC21D" w:rsidR="00B649B4" w:rsidRDefault="00B337C1" w:rsidP="00B337C1">
      <w:pPr>
        <w:spacing w:after="0" w:line="240" w:lineRule="auto"/>
        <w:ind w:left="4956"/>
        <w:rPr>
          <w:rFonts w:ascii="Arial" w:eastAsia="Arial" w:hAnsi="Arial" w:cs="Arial"/>
          <w:lang w:eastAsia="cs-CZ"/>
        </w:rPr>
      </w:pPr>
      <w:r>
        <w:rPr>
          <w:rFonts w:ascii="Arial" w:eastAsia="Arial" w:hAnsi="Arial" w:cs="Arial"/>
          <w:lang w:eastAsia="cs-CZ"/>
        </w:rPr>
        <w:t xml:space="preserve">       </w:t>
      </w:r>
      <w:r w:rsidR="00B649B4" w:rsidRPr="001662C6">
        <w:rPr>
          <w:rFonts w:ascii="Arial" w:eastAsia="Arial" w:hAnsi="Arial" w:cs="Arial"/>
          <w:lang w:eastAsia="cs-CZ"/>
        </w:rPr>
        <w:t xml:space="preserve">V Praze dne </w:t>
      </w:r>
      <w:r>
        <w:rPr>
          <w:rFonts w:ascii="Arial" w:eastAsia="Arial" w:hAnsi="Arial" w:cs="Arial"/>
          <w:lang w:eastAsia="cs-CZ"/>
        </w:rPr>
        <w:t>2</w:t>
      </w:r>
      <w:r w:rsidR="00DB704E">
        <w:rPr>
          <w:rFonts w:ascii="Arial" w:eastAsia="Arial" w:hAnsi="Arial" w:cs="Arial"/>
          <w:lang w:eastAsia="cs-CZ"/>
        </w:rPr>
        <w:t>6</w:t>
      </w:r>
      <w:r w:rsidR="00B649B4" w:rsidRPr="001662C6">
        <w:rPr>
          <w:rFonts w:ascii="Arial" w:eastAsia="Arial" w:hAnsi="Arial" w:cs="Arial"/>
          <w:lang w:eastAsia="cs-CZ"/>
        </w:rPr>
        <w:t xml:space="preserve">. </w:t>
      </w:r>
      <w:r>
        <w:rPr>
          <w:rFonts w:ascii="Arial" w:eastAsia="Arial" w:hAnsi="Arial" w:cs="Arial"/>
          <w:lang w:eastAsia="cs-CZ"/>
        </w:rPr>
        <w:t>června</w:t>
      </w:r>
      <w:r w:rsidR="00B649B4" w:rsidRPr="001662C6">
        <w:rPr>
          <w:rFonts w:ascii="Arial" w:eastAsia="Arial" w:hAnsi="Arial" w:cs="Arial"/>
          <w:lang w:eastAsia="cs-CZ"/>
        </w:rPr>
        <w:t xml:space="preserve"> 2025</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641D86B4" w:rsidR="00463335" w:rsidRPr="00EC7B36" w:rsidRDefault="00463335" w:rsidP="00EC7B36">
      <w:pPr>
        <w:autoSpaceDE w:val="0"/>
        <w:autoSpaceDN w:val="0"/>
        <w:adjustRightInd w:val="0"/>
        <w:spacing w:after="0" w:line="240" w:lineRule="auto"/>
        <w:jc w:val="both"/>
        <w:rPr>
          <w:rFonts w:ascii="Arial" w:eastAsia="Arial" w:hAnsi="Arial" w:cs="Arial"/>
          <w:lang w:eastAsia="cs-CZ"/>
        </w:rPr>
      </w:pPr>
      <w:r w:rsidRPr="00EC7B36">
        <w:rPr>
          <w:rFonts w:ascii="Arial" w:hAnsi="Arial" w:cs="Arial"/>
        </w:rPr>
        <w:t>Státní tajemnice Ministerstva pro místní rozvoj</w:t>
      </w:r>
      <w:r w:rsidRPr="00EC7B36">
        <w:rPr>
          <w:rFonts w:ascii="Arial" w:hAnsi="Arial" w:cs="Arial"/>
          <w:color w:val="FF0000"/>
        </w:rPr>
        <w:t xml:space="preserve"> </w:t>
      </w:r>
      <w:r w:rsidRPr="00EC7B36">
        <w:rPr>
          <w:rFonts w:ascii="Arial" w:hAnsi="Arial" w:cs="Arial"/>
        </w:rPr>
        <w:t>jako služební orgán příslušný podle § 10 odst. 1 písm. f)</w:t>
      </w:r>
      <w:r w:rsidRPr="00EC7B36">
        <w:rPr>
          <w:rFonts w:ascii="Arial" w:hAnsi="Arial" w:cs="Arial"/>
          <w:color w:val="FF0000"/>
        </w:rPr>
        <w:t xml:space="preserve"> </w:t>
      </w:r>
      <w:r w:rsidRPr="00EC7B36">
        <w:rPr>
          <w:rFonts w:ascii="Arial" w:hAnsi="Arial" w:cs="Arial"/>
        </w:rPr>
        <w:t xml:space="preserve">zákona č. 234/2014 Sb., o státní službě, </w:t>
      </w:r>
      <w:r w:rsidRPr="00EC7B36">
        <w:rPr>
          <w:rFonts w:ascii="Arial" w:eastAsia="Arial" w:hAnsi="Arial" w:cs="Arial"/>
          <w:lang w:eastAsia="cs-CZ"/>
        </w:rPr>
        <w:t>ve znění pozdějších předpisů</w:t>
      </w:r>
      <w:r w:rsidRPr="00EC7B36">
        <w:rPr>
          <w:rFonts w:ascii="Arial" w:hAnsi="Arial" w:cs="Arial"/>
        </w:rPr>
        <w:t xml:space="preserve"> (dále jen „zákon“)</w:t>
      </w:r>
      <w:r w:rsidRPr="00EC7B36">
        <w:rPr>
          <w:rFonts w:ascii="Arial" w:eastAsia="Arial" w:hAnsi="Arial" w:cs="Arial"/>
          <w:lang w:eastAsia="cs-CZ"/>
        </w:rPr>
        <w:t xml:space="preserve">, vyhlašuje výběrové řízení na služební místo </w:t>
      </w:r>
      <w:r w:rsidRPr="00EC7B36">
        <w:rPr>
          <w:rFonts w:ascii="Arial" w:hAnsi="Arial" w:cs="Arial"/>
        </w:rPr>
        <w:t>č. MMR_</w:t>
      </w:r>
      <w:r w:rsidR="00482FED">
        <w:rPr>
          <w:rFonts w:ascii="Arial" w:hAnsi="Arial" w:cs="Arial"/>
        </w:rPr>
        <w:t>729</w:t>
      </w:r>
      <w:r w:rsidR="00EC7B36">
        <w:rPr>
          <w:rFonts w:ascii="Arial" w:hAnsi="Arial" w:cs="Arial"/>
        </w:rPr>
        <w:t xml:space="preserve">, </w:t>
      </w:r>
      <w:r w:rsidR="00482FED" w:rsidRPr="00482FED">
        <w:rPr>
          <w:rFonts w:ascii="Arial" w:hAnsi="Arial" w:cs="Arial"/>
        </w:rPr>
        <w:t xml:space="preserve">místo </w:t>
      </w:r>
      <w:r w:rsidR="00482FED" w:rsidRPr="00482FED">
        <w:rPr>
          <w:rFonts w:ascii="Arial" w:hAnsi="Arial" w:cs="Arial"/>
          <w:b/>
          <w:bCs/>
        </w:rPr>
        <w:t>metodika/metodičky územní dimenze</w:t>
      </w:r>
      <w:r w:rsidR="00482FED" w:rsidRPr="00482FED">
        <w:rPr>
          <w:rFonts w:ascii="Arial" w:hAnsi="Arial" w:cs="Arial"/>
        </w:rPr>
        <w:t>, oddělení řízení strategie regionálního rozvoje</w:t>
      </w:r>
      <w:r w:rsidR="00CA5438">
        <w:rPr>
          <w:rFonts w:ascii="Arial" w:hAnsi="Arial" w:cs="Arial"/>
        </w:rPr>
        <w:t>,</w:t>
      </w:r>
      <w:r w:rsidR="00DC6EBE">
        <w:rPr>
          <w:rFonts w:ascii="Arial" w:hAnsi="Arial" w:cs="Arial"/>
        </w:rPr>
        <w:t xml:space="preserve"> </w:t>
      </w:r>
      <w:r w:rsidR="00847E0F">
        <w:rPr>
          <w:rFonts w:ascii="Arial" w:hAnsi="Arial" w:cs="Arial"/>
        </w:rPr>
        <w:t>odbor regionální politiky</w:t>
      </w:r>
      <w:r w:rsidRPr="00EC7B36">
        <w:rPr>
          <w:rFonts w:ascii="Arial" w:eastAsia="Arial" w:hAnsi="Arial" w:cs="Arial"/>
          <w:lang w:eastAsia="cs-CZ"/>
        </w:rPr>
        <w:t xml:space="preserve">, </w:t>
      </w:r>
      <w:r w:rsidR="00847E0F" w:rsidRPr="00847E0F">
        <w:rPr>
          <w:rFonts w:ascii="Arial" w:hAnsi="Arial" w:cs="Arial"/>
        </w:rPr>
        <w:t xml:space="preserve">sekce </w:t>
      </w:r>
      <w:hyperlink r:id="rId8" w:history="1">
        <w:r w:rsidR="00847E0F" w:rsidRPr="00847E0F">
          <w:rPr>
            <w:rFonts w:ascii="Arial" w:hAnsi="Arial" w:cs="Arial"/>
          </w:rPr>
          <w:t>regionální politiky</w:t>
        </w:r>
        <w:r w:rsidR="00847E0F">
          <w:rPr>
            <w:rFonts w:ascii="Arial" w:hAnsi="Arial" w:cs="Arial"/>
          </w:rPr>
          <w:t xml:space="preserve">, </w:t>
        </w:r>
        <w:r w:rsidR="00847E0F" w:rsidRPr="00847E0F">
          <w:rPr>
            <w:rFonts w:ascii="Arial" w:hAnsi="Arial" w:cs="Arial"/>
          </w:rPr>
          <w:t>politiky</w:t>
        </w:r>
        <w:r w:rsidR="00847E0F">
          <w:rPr>
            <w:rFonts w:ascii="Arial" w:hAnsi="Arial" w:cs="Arial"/>
          </w:rPr>
          <w:t xml:space="preserve"> </w:t>
        </w:r>
        <w:r w:rsidR="00847E0F" w:rsidRPr="00847E0F">
          <w:rPr>
            <w:rFonts w:ascii="Arial" w:hAnsi="Arial" w:cs="Arial"/>
          </w:rPr>
          <w:t>bydlení a sociálního začleňování</w:t>
        </w:r>
      </w:hyperlink>
      <w:r w:rsidR="00847E0F" w:rsidRPr="00847E0F">
        <w:rPr>
          <w:rFonts w:ascii="Arial" w:hAnsi="Arial" w:cs="Arial"/>
        </w:rPr>
        <w:t xml:space="preserve">, </w:t>
      </w:r>
      <w:r w:rsidRPr="00847E0F">
        <w:rPr>
          <w:rFonts w:ascii="Arial" w:hAnsi="Arial" w:cs="Arial"/>
        </w:rPr>
        <w:t>se služebním působištěm v</w:t>
      </w:r>
      <w:r w:rsidR="00CD315D" w:rsidRPr="00847E0F">
        <w:rPr>
          <w:rFonts w:ascii="Arial" w:hAnsi="Arial" w:cs="Arial"/>
        </w:rPr>
        <w:t> </w:t>
      </w:r>
      <w:r w:rsidR="00DB7908" w:rsidRPr="00847E0F">
        <w:rPr>
          <w:rFonts w:ascii="Arial" w:hAnsi="Arial" w:cs="Arial"/>
        </w:rPr>
        <w:t>Praze</w:t>
      </w:r>
      <w:r w:rsidRPr="00847E0F">
        <w:rPr>
          <w:rFonts w:ascii="Arial" w:hAnsi="Arial" w:cs="Arial"/>
        </w:rPr>
        <w:t>.</w:t>
      </w:r>
      <w:r w:rsidRPr="00EC7B36">
        <w:rPr>
          <w:rFonts w:ascii="Arial" w:eastAsia="Arial" w:hAnsi="Arial" w:cs="Arial"/>
          <w:lang w:eastAsia="cs-CZ"/>
        </w:rPr>
        <w:t xml:space="preserv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4D3B1499" w:rsidR="00463335" w:rsidRPr="00A75D37" w:rsidRDefault="00463335" w:rsidP="000B2EB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je státní služba (dále jen „služba“) vykonávána </w:t>
      </w:r>
      <w:r w:rsidRPr="00A75D37">
        <w:rPr>
          <w:rFonts w:ascii="Arial" w:eastAsia="Arial" w:hAnsi="Arial" w:cs="Arial"/>
          <w:b/>
          <w:bCs/>
          <w:lang w:eastAsia="cs-CZ"/>
        </w:rPr>
        <w:t>v obor</w:t>
      </w:r>
      <w:r w:rsidR="007E4AD5">
        <w:rPr>
          <w:rFonts w:ascii="Arial" w:eastAsia="Arial" w:hAnsi="Arial" w:cs="Arial"/>
          <w:b/>
          <w:bCs/>
          <w:lang w:eastAsia="cs-CZ"/>
        </w:rPr>
        <w:t>ech</w:t>
      </w:r>
      <w:r w:rsidRPr="00A75D37">
        <w:rPr>
          <w:rFonts w:ascii="Arial" w:eastAsia="Arial" w:hAnsi="Arial" w:cs="Arial"/>
          <w:b/>
          <w:bCs/>
          <w:lang w:eastAsia="cs-CZ"/>
        </w:rPr>
        <w:t xml:space="preserve"> služby </w:t>
      </w:r>
    </w:p>
    <w:p w14:paraId="4255760F" w14:textId="750D3CC2" w:rsidR="00463335" w:rsidRDefault="002147F1" w:rsidP="00847E0F">
      <w:pPr>
        <w:spacing w:after="0" w:line="240" w:lineRule="auto"/>
        <w:jc w:val="both"/>
        <w:rPr>
          <w:rFonts w:ascii="Arial" w:hAnsi="Arial" w:cs="Arial"/>
        </w:rPr>
      </w:pPr>
      <w:r>
        <w:rPr>
          <w:rFonts w:ascii="Arial" w:hAnsi="Arial" w:cs="Arial"/>
        </w:rPr>
        <w:t>3</w:t>
      </w:r>
      <w:r w:rsidR="00847E0F">
        <w:rPr>
          <w:rFonts w:ascii="Arial" w:hAnsi="Arial" w:cs="Arial"/>
        </w:rPr>
        <w:t>8</w:t>
      </w:r>
      <w:r>
        <w:rPr>
          <w:rFonts w:ascii="Arial" w:hAnsi="Arial" w:cs="Arial"/>
        </w:rPr>
        <w:t xml:space="preserve"> – </w:t>
      </w:r>
      <w:r w:rsidR="00847E0F" w:rsidRPr="00847E0F">
        <w:rPr>
          <w:rFonts w:ascii="Arial" w:hAnsi="Arial" w:cs="Arial"/>
        </w:rPr>
        <w:t>Společné evropské politiky podpory a pomoci a evropské strukturální, investiční a obdobné fondy</w:t>
      </w:r>
    </w:p>
    <w:p w14:paraId="07FF1D10" w14:textId="6A4E909A" w:rsidR="00482FED" w:rsidRDefault="00482FED" w:rsidP="00847E0F">
      <w:pPr>
        <w:spacing w:after="0" w:line="240" w:lineRule="auto"/>
        <w:jc w:val="both"/>
        <w:rPr>
          <w:rFonts w:ascii="Arial" w:hAnsi="Arial" w:cs="Arial"/>
        </w:rPr>
      </w:pPr>
      <w:r>
        <w:rPr>
          <w:rFonts w:ascii="Arial" w:hAnsi="Arial" w:cs="Arial"/>
        </w:rPr>
        <w:t>64 – Bydlení, regionální rozvoj a cestovní ruch</w:t>
      </w:r>
    </w:p>
    <w:p w14:paraId="3FAD40BA" w14:textId="77777777" w:rsidR="00847E0F" w:rsidRDefault="00847E0F" w:rsidP="00847E0F">
      <w:pPr>
        <w:spacing w:after="0" w:line="240" w:lineRule="auto"/>
        <w:jc w:val="both"/>
        <w:rPr>
          <w:rFonts w:ascii="Arial" w:hAnsi="Arial" w:cs="Arial"/>
        </w:rPr>
      </w:pPr>
    </w:p>
    <w:p w14:paraId="639F024D" w14:textId="77777777" w:rsidR="00463335" w:rsidRPr="00A75D37" w:rsidRDefault="00463335" w:rsidP="00E518D5">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700D5B0A" w14:textId="21E66430"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metodicky podporuje tvorbu koncepcí státních politik k hospodářské, sociální a územní soudržnosti;</w:t>
      </w:r>
    </w:p>
    <w:p w14:paraId="3271D51A" w14:textId="52E0AA73"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zpracovává návrhy nových strategických dokumentů na národní úrovni ve vazbě na EU;</w:t>
      </w:r>
    </w:p>
    <w:p w14:paraId="236DDF74" w14:textId="745C4543"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zpracovává analytické podklady pro oblast regionální politiky s vazbou na EU;</w:t>
      </w:r>
    </w:p>
    <w:p w14:paraId="56AB862D" w14:textId="1D26E763"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spolupracuje na hodnocení a tvorbě strategických dokumentů regionální politiky jakožto podkladu pro čerpání z fondů EU</w:t>
      </w:r>
      <w:r>
        <w:rPr>
          <w:rFonts w:ascii="Arial" w:hAnsi="Arial" w:cs="Arial"/>
        </w:rPr>
        <w:t>;</w:t>
      </w:r>
    </w:p>
    <w:p w14:paraId="7FA1E3AF" w14:textId="604CCF18"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komunikuje s kraji a obcemi ve věci naplňování SRR případně dalších politik s dopadem do území;</w:t>
      </w:r>
    </w:p>
    <w:p w14:paraId="6A040FEF" w14:textId="2E48CE52"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spolupracuje na monitorování územní dimenze fondů EU v regionech ČR, v případě potřeby prezentuje v ČR i v zahraničí;</w:t>
      </w:r>
    </w:p>
    <w:p w14:paraId="7B478605" w14:textId="1FF7E703"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poskytuje metodickou a organizační podporu regionálním stálým konferencím jakožto koordinačního mechanismu územní dimenze fondů EU na regionální úrovni;</w:t>
      </w:r>
    </w:p>
    <w:p w14:paraId="768AEDA7" w14:textId="4A173CDD" w:rsidR="00482FED" w:rsidRDefault="00482FED" w:rsidP="00221160">
      <w:pPr>
        <w:pStyle w:val="Odstavecseseznamem"/>
        <w:numPr>
          <w:ilvl w:val="0"/>
          <w:numId w:val="4"/>
        </w:numPr>
        <w:spacing w:after="0" w:line="240" w:lineRule="auto"/>
        <w:ind w:left="567"/>
        <w:jc w:val="both"/>
        <w:rPr>
          <w:rFonts w:ascii="Arial" w:hAnsi="Arial" w:cs="Arial"/>
        </w:rPr>
      </w:pPr>
      <w:r w:rsidRPr="00482FED">
        <w:rPr>
          <w:rFonts w:ascii="Arial" w:hAnsi="Arial" w:cs="Arial"/>
        </w:rPr>
        <w:t>podílí se metodickou a analytickou činností na tvorbě Akčního plánu Strategie regionálního rozvoje (SRR).</w:t>
      </w:r>
    </w:p>
    <w:p w14:paraId="5166E856" w14:textId="77777777" w:rsidR="00482FED" w:rsidRDefault="00482FED" w:rsidP="00482FED">
      <w:pPr>
        <w:spacing w:after="0" w:line="240" w:lineRule="auto"/>
        <w:jc w:val="both"/>
        <w:rPr>
          <w:rFonts w:ascii="Arial" w:hAnsi="Arial" w:cs="Arial"/>
        </w:rPr>
      </w:pPr>
    </w:p>
    <w:p w14:paraId="3807956B" w14:textId="77777777" w:rsidR="00482FED" w:rsidRDefault="00482FED" w:rsidP="00482FED">
      <w:pPr>
        <w:spacing w:after="0" w:line="240" w:lineRule="auto"/>
        <w:jc w:val="both"/>
        <w:rPr>
          <w:rFonts w:ascii="Arial" w:hAnsi="Arial" w:cs="Arial"/>
        </w:rPr>
      </w:pPr>
    </w:p>
    <w:p w14:paraId="7FB15416" w14:textId="77777777" w:rsidR="00482FED" w:rsidRPr="00482FED" w:rsidRDefault="00482FED" w:rsidP="00482FED">
      <w:pPr>
        <w:spacing w:after="0" w:line="240" w:lineRule="auto"/>
        <w:jc w:val="both"/>
        <w:rPr>
          <w:rFonts w:ascii="Arial" w:hAnsi="Arial" w:cs="Arial"/>
        </w:rPr>
      </w:pP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lastRenderedPageBreak/>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62E7175C"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56A6C7E3" w14:textId="2B3F2919" w:rsidR="0000141D"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 xml:space="preserve">do </w:t>
      </w:r>
      <w:r w:rsidR="006E388A">
        <w:rPr>
          <w:rFonts w:ascii="Arial" w:eastAsia="Arial" w:hAnsi="Arial" w:cs="Arial"/>
          <w:b/>
          <w:bCs/>
          <w:lang w:eastAsia="cs-CZ"/>
        </w:rPr>
        <w:t>13</w:t>
      </w:r>
      <w:r w:rsidRPr="0087580A">
        <w:rPr>
          <w:rFonts w:ascii="Arial" w:eastAsia="Arial" w:hAnsi="Arial" w:cs="Arial"/>
          <w:b/>
          <w:bCs/>
          <w:lang w:eastAsia="cs-CZ"/>
        </w:rPr>
        <w:t xml:space="preserve">. platové třídy. </w:t>
      </w:r>
    </w:p>
    <w:p w14:paraId="34AB8A6D" w14:textId="77777777" w:rsidR="00B865FF" w:rsidRPr="0087580A" w:rsidRDefault="00B865FF" w:rsidP="006E52A8">
      <w:pPr>
        <w:autoSpaceDE w:val="0"/>
        <w:autoSpaceDN w:val="0"/>
        <w:adjustRightInd w:val="0"/>
        <w:spacing w:after="0" w:line="240" w:lineRule="auto"/>
        <w:jc w:val="both"/>
        <w:rPr>
          <w:rFonts w:ascii="Arial" w:eastAsia="Arial" w:hAnsi="Arial" w:cs="Arial"/>
          <w:b/>
          <w:bCs/>
          <w:lang w:eastAsia="cs-CZ"/>
        </w:rPr>
      </w:pPr>
    </w:p>
    <w:p w14:paraId="574F3464" w14:textId="77777777" w:rsidR="0000141D" w:rsidRPr="0087580A" w:rsidRDefault="0000141D" w:rsidP="006E52A8">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2.1 Platový tarif </w:t>
      </w:r>
    </w:p>
    <w:p w14:paraId="1499D3DF" w14:textId="794A77F9" w:rsidR="0000141D" w:rsidRPr="0087580A" w:rsidRDefault="0000141D" w:rsidP="006E52A8">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Pr="0004573A">
        <w:rPr>
          <w:rFonts w:ascii="Arial" w:eastAsia="Arial" w:hAnsi="Arial" w:cs="Arial"/>
          <w:b/>
          <w:bCs/>
          <w:lang w:eastAsia="cs-CZ"/>
        </w:rPr>
        <w:t>3</w:t>
      </w:r>
      <w:r w:rsidR="006E388A">
        <w:rPr>
          <w:rFonts w:ascii="Arial" w:eastAsia="Arial" w:hAnsi="Arial" w:cs="Arial"/>
          <w:b/>
          <w:bCs/>
          <w:lang w:eastAsia="cs-CZ"/>
        </w:rPr>
        <w:t>2</w:t>
      </w:r>
      <w:r>
        <w:rPr>
          <w:rFonts w:ascii="Arial" w:eastAsia="Arial" w:hAnsi="Arial" w:cs="Arial"/>
          <w:b/>
          <w:bCs/>
          <w:lang w:eastAsia="cs-CZ"/>
        </w:rPr>
        <w:t>.</w:t>
      </w:r>
      <w:r w:rsidR="006E388A">
        <w:rPr>
          <w:rFonts w:ascii="Arial" w:eastAsia="Arial" w:hAnsi="Arial" w:cs="Arial"/>
          <w:b/>
          <w:bCs/>
          <w:lang w:eastAsia="cs-CZ"/>
        </w:rPr>
        <w:t>180</w:t>
      </w:r>
      <w:r w:rsidRPr="0004573A">
        <w:rPr>
          <w:rFonts w:ascii="Arial" w:eastAsia="Arial" w:hAnsi="Arial" w:cs="Arial"/>
          <w:b/>
          <w:bCs/>
          <w:lang w:eastAsia="cs-CZ"/>
        </w:rPr>
        <w:t xml:space="preserve"> Kč do </w:t>
      </w:r>
      <w:r w:rsidR="006E388A">
        <w:rPr>
          <w:rFonts w:ascii="Arial" w:eastAsia="Arial" w:hAnsi="Arial" w:cs="Arial"/>
          <w:b/>
          <w:bCs/>
          <w:lang w:eastAsia="cs-CZ"/>
        </w:rPr>
        <w:t>46</w:t>
      </w:r>
      <w:r>
        <w:rPr>
          <w:rFonts w:ascii="Arial" w:eastAsia="Arial" w:hAnsi="Arial" w:cs="Arial"/>
          <w:b/>
          <w:bCs/>
          <w:lang w:eastAsia="cs-CZ"/>
        </w:rPr>
        <w:t>.</w:t>
      </w:r>
      <w:r w:rsidR="006E388A">
        <w:rPr>
          <w:rFonts w:ascii="Arial" w:eastAsia="Arial" w:hAnsi="Arial" w:cs="Arial"/>
          <w:b/>
          <w:bCs/>
          <w:lang w:eastAsia="cs-CZ"/>
        </w:rPr>
        <w:t>820</w:t>
      </w:r>
      <w:r w:rsidRPr="0004573A">
        <w:rPr>
          <w:rFonts w:ascii="Arial" w:eastAsia="Arial" w:hAnsi="Arial" w:cs="Arial"/>
          <w:b/>
          <w:bCs/>
          <w:lang w:eastAsia="cs-CZ"/>
        </w:rPr>
        <w:t xml:space="preserve"> Kč</w:t>
      </w:r>
      <w:r w:rsidRPr="0087580A">
        <w:rPr>
          <w:rFonts w:ascii="Arial" w:eastAsia="Arial" w:hAnsi="Arial" w:cs="Arial"/>
          <w:lang w:eastAsia="cs-CZ"/>
        </w:rPr>
        <w:t xml:space="preserve">. </w:t>
      </w:r>
    </w:p>
    <w:p w14:paraId="7E665821" w14:textId="77777777" w:rsidR="0000141D" w:rsidRPr="004C46C0"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 xml:space="preserve">Státní zaměstnanec se zařadí do platového stupně podle započitatelné praxe a míry jejího zápočtu podle § 3 nařízení vlády č. 304/2014 Sb., o platových poměrech státních zaměstnanců, ve znění pozdějších předpisů. </w:t>
      </w:r>
    </w:p>
    <w:p w14:paraId="374FEBFD" w14:textId="77777777" w:rsidR="0000141D" w:rsidRDefault="0000141D" w:rsidP="0000141D">
      <w:pPr>
        <w:autoSpaceDE w:val="0"/>
        <w:autoSpaceDN w:val="0"/>
        <w:adjustRightInd w:val="0"/>
        <w:spacing w:after="0" w:line="240" w:lineRule="auto"/>
        <w:rPr>
          <w:rFonts w:ascii="Arial" w:eastAsia="Arial" w:hAnsi="Arial" w:cs="Arial"/>
          <w:highlight w:val="yellow"/>
          <w:lang w:eastAsia="cs-CZ"/>
        </w:rPr>
      </w:pPr>
    </w:p>
    <w:p w14:paraId="49A56798" w14:textId="77777777" w:rsidR="0000141D" w:rsidRPr="00086B7F" w:rsidRDefault="0000141D" w:rsidP="0000141D">
      <w:pPr>
        <w:autoSpaceDE w:val="0"/>
        <w:autoSpaceDN w:val="0"/>
        <w:adjustRightInd w:val="0"/>
        <w:spacing w:after="0" w:line="240" w:lineRule="auto"/>
        <w:rPr>
          <w:rFonts w:ascii="Arial" w:eastAsia="Arial" w:hAnsi="Arial" w:cs="Arial"/>
          <w:b/>
          <w:bCs/>
          <w:lang w:eastAsia="cs-CZ"/>
        </w:rPr>
      </w:pPr>
      <w:r w:rsidRPr="00086B7F">
        <w:rPr>
          <w:rFonts w:ascii="Arial" w:eastAsia="Arial" w:hAnsi="Arial" w:cs="Arial"/>
          <w:b/>
          <w:bCs/>
          <w:lang w:eastAsia="cs-CZ"/>
        </w:rPr>
        <w:t xml:space="preserve">2.2 Osobní příplatek </w:t>
      </w:r>
    </w:p>
    <w:p w14:paraId="6CA63596" w14:textId="18C26A8A" w:rsidR="00086B7F" w:rsidRPr="001843B7" w:rsidRDefault="00086B7F" w:rsidP="00086B7F">
      <w:pPr>
        <w:autoSpaceDE w:val="0"/>
        <w:autoSpaceDN w:val="0"/>
        <w:adjustRightInd w:val="0"/>
        <w:spacing w:after="0" w:line="240" w:lineRule="auto"/>
        <w:jc w:val="both"/>
        <w:rPr>
          <w:rFonts w:ascii="Arial" w:eastAsia="Arial" w:hAnsi="Arial" w:cs="Arial"/>
          <w:lang w:eastAsia="cs-CZ"/>
        </w:rPr>
      </w:pPr>
      <w:bookmarkStart w:id="0" w:name="_Hlk188368557"/>
      <w:r w:rsidRPr="009A104D">
        <w:rPr>
          <w:rFonts w:ascii="Arial" w:eastAsia="Arial" w:hAnsi="Arial" w:cs="Arial"/>
          <w:lang w:eastAsia="cs-CZ"/>
        </w:rPr>
        <w:t xml:space="preserve">Rozpětí </w:t>
      </w:r>
      <w:r w:rsidRPr="008F6678">
        <w:rPr>
          <w:rFonts w:ascii="Arial" w:eastAsia="Arial" w:hAnsi="Arial" w:cs="Arial"/>
          <w:b/>
          <w:bCs/>
          <w:lang w:eastAsia="cs-CZ"/>
        </w:rPr>
        <w:t xml:space="preserve">od </w:t>
      </w:r>
      <w:r w:rsidR="009A104D" w:rsidRPr="008F6678">
        <w:rPr>
          <w:rFonts w:ascii="Arial" w:eastAsia="Arial" w:hAnsi="Arial" w:cs="Arial"/>
          <w:b/>
          <w:bCs/>
          <w:lang w:eastAsia="cs-CZ"/>
        </w:rPr>
        <w:t>6.000 Kč</w:t>
      </w:r>
      <w:r w:rsidRPr="008F6678">
        <w:rPr>
          <w:rFonts w:ascii="Arial" w:eastAsia="Arial" w:hAnsi="Arial" w:cs="Arial"/>
          <w:b/>
          <w:bCs/>
          <w:lang w:eastAsia="cs-CZ"/>
        </w:rPr>
        <w:t xml:space="preserve"> d</w:t>
      </w:r>
      <w:r w:rsidR="009A104D" w:rsidRPr="008F6678">
        <w:rPr>
          <w:rFonts w:ascii="Arial" w:eastAsia="Arial" w:hAnsi="Arial" w:cs="Arial"/>
          <w:b/>
          <w:bCs/>
          <w:lang w:eastAsia="cs-CZ"/>
        </w:rPr>
        <w:t>o 10.000 Kč</w:t>
      </w:r>
      <w:r w:rsidR="009A104D">
        <w:rPr>
          <w:rFonts w:ascii="Arial" w:eastAsia="Arial" w:hAnsi="Arial" w:cs="Arial"/>
          <w:lang w:eastAsia="cs-CZ"/>
        </w:rPr>
        <w:t xml:space="preserve">. </w:t>
      </w:r>
      <w:r w:rsidR="009A104D" w:rsidRPr="009A104D">
        <w:rPr>
          <w:rFonts w:ascii="Arial" w:eastAsia="Arial" w:hAnsi="Arial" w:cs="Arial"/>
          <w:lang w:eastAsia="cs-CZ"/>
        </w:rPr>
        <w:t xml:space="preserve">Jedná se o rozpětí osobního příplatku pro služební místa </w:t>
      </w:r>
      <w:r w:rsidR="009A104D">
        <w:rPr>
          <w:rFonts w:ascii="Arial" w:eastAsia="Arial" w:hAnsi="Arial" w:cs="Arial"/>
          <w:lang w:eastAsia="cs-CZ"/>
        </w:rPr>
        <w:t>referentů</w:t>
      </w:r>
      <w:r w:rsidR="009A104D" w:rsidRPr="009A104D">
        <w:rPr>
          <w:rFonts w:ascii="Arial" w:eastAsia="Arial" w:hAnsi="Arial" w:cs="Arial"/>
          <w:lang w:eastAsia="cs-CZ"/>
        </w:rPr>
        <w:t xml:space="preserve"> pro všechny platové třídy (9. platová třída – 15. platová třída). </w:t>
      </w:r>
    </w:p>
    <w:bookmarkEnd w:id="0"/>
    <w:p w14:paraId="08CCB8C4" w14:textId="77777777" w:rsidR="0000141D" w:rsidRPr="0087580A" w:rsidRDefault="0000141D" w:rsidP="0000141D">
      <w:pPr>
        <w:autoSpaceDE w:val="0"/>
        <w:autoSpaceDN w:val="0"/>
        <w:adjustRightInd w:val="0"/>
        <w:spacing w:after="0" w:line="240" w:lineRule="auto"/>
        <w:rPr>
          <w:rFonts w:ascii="Cambria" w:eastAsia="Arial" w:hAnsi="Cambria"/>
          <w:sz w:val="24"/>
          <w:szCs w:val="24"/>
          <w:highlight w:val="yellow"/>
          <w:lang w:eastAsia="cs-CZ"/>
        </w:rPr>
      </w:pPr>
    </w:p>
    <w:p w14:paraId="30D8DD7E" w14:textId="6CA15788" w:rsidR="0000141D" w:rsidRDefault="0000141D" w:rsidP="0000141D">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CD315D">
        <w:rPr>
          <w:rFonts w:ascii="Arial" w:eastAsia="Arial" w:hAnsi="Arial" w:cs="Arial"/>
          <w:lang w:eastAsia="cs-CZ"/>
        </w:rPr>
        <w:t> </w:t>
      </w:r>
      <w:r w:rsidRPr="0087580A">
        <w:rPr>
          <w:rFonts w:ascii="Arial" w:eastAsia="Arial" w:hAnsi="Arial" w:cs="Arial"/>
          <w:lang w:eastAsia="cs-CZ"/>
        </w:rPr>
        <w:t xml:space="preserve">rozmezí od 0 Kč do částky odpovídající </w:t>
      </w:r>
      <w:r w:rsidR="00912D20">
        <w:rPr>
          <w:rFonts w:ascii="Arial" w:eastAsia="Arial" w:hAnsi="Arial" w:cs="Arial"/>
          <w:lang w:eastAsia="cs-CZ"/>
        </w:rPr>
        <w:t>100</w:t>
      </w:r>
      <w:r w:rsidRPr="0087580A">
        <w:rPr>
          <w:rFonts w:ascii="Arial" w:eastAsia="Arial" w:hAnsi="Arial" w:cs="Arial"/>
          <w:lang w:eastAsia="cs-CZ"/>
        </w:rPr>
        <w:t xml:space="preserve"> % platového tarifu nejvyššího platového stupně v platové třídě, do které je zařazeno služební místo, na kterém státní zaměstnanec vykonává službu</w:t>
      </w:r>
      <w:r w:rsidR="00912D20">
        <w:rPr>
          <w:rFonts w:ascii="Arial" w:eastAsia="Arial" w:hAnsi="Arial" w:cs="Arial"/>
          <w:lang w:eastAsia="cs-CZ"/>
        </w:rPr>
        <w:t>.</w:t>
      </w:r>
      <w:r w:rsidRPr="0087580A">
        <w:rPr>
          <w:rFonts w:ascii="Arial" w:eastAsia="Arial" w:hAnsi="Arial" w:cs="Arial"/>
          <w:lang w:eastAsia="cs-CZ"/>
        </w:rPr>
        <w:t xml:space="preserve"> </w:t>
      </w:r>
    </w:p>
    <w:p w14:paraId="0AB5FDA6" w14:textId="77777777" w:rsidR="0000141D" w:rsidRPr="0087580A" w:rsidRDefault="0000141D" w:rsidP="0000141D">
      <w:pPr>
        <w:autoSpaceDE w:val="0"/>
        <w:autoSpaceDN w:val="0"/>
        <w:adjustRightInd w:val="0"/>
        <w:spacing w:after="0" w:line="240" w:lineRule="auto"/>
        <w:rPr>
          <w:rFonts w:ascii="Arial" w:eastAsia="Arial" w:hAnsi="Arial" w:cs="Arial"/>
          <w:highlight w:val="yellow"/>
          <w:lang w:eastAsia="cs-CZ"/>
        </w:rPr>
      </w:pPr>
    </w:p>
    <w:p w14:paraId="02D078BD" w14:textId="77777777" w:rsidR="0000141D" w:rsidRDefault="0000141D" w:rsidP="0000141D">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Pr>
          <w:rFonts w:ascii="Arial" w:eastAsia="Arial" w:hAnsi="Arial" w:cs="Arial"/>
          <w:b/>
          <w:bCs/>
          <w:lang w:eastAsia="cs-CZ"/>
        </w:rPr>
        <w:t>3</w:t>
      </w:r>
      <w:r w:rsidRPr="0087580A">
        <w:rPr>
          <w:rFonts w:ascii="Arial" w:eastAsia="Arial" w:hAnsi="Arial" w:cs="Arial"/>
          <w:b/>
          <w:bCs/>
          <w:lang w:eastAsia="cs-CZ"/>
        </w:rPr>
        <w:t xml:space="preserve"> Odměny </w:t>
      </w:r>
    </w:p>
    <w:p w14:paraId="24D139A6" w14:textId="7F875D5F" w:rsidR="0000141D" w:rsidRDefault="0000141D" w:rsidP="0000141D">
      <w:pPr>
        <w:autoSpaceDE w:val="0"/>
        <w:autoSpaceDN w:val="0"/>
        <w:adjustRightInd w:val="0"/>
        <w:spacing w:after="0" w:line="240" w:lineRule="auto"/>
        <w:jc w:val="both"/>
        <w:rPr>
          <w:rFonts w:ascii="Arial" w:hAnsi="Arial" w:cs="Arial"/>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Odměny jsou nenárokové, zpravidla se vyplácejí 2x ročně dle objemu disponibilních finančních prostředků.</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4A8F1228" w:rsidR="001768C0" w:rsidRPr="000B74A1" w:rsidRDefault="001768C0" w:rsidP="00CD315D">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2417C4">
        <w:rPr>
          <w:rFonts w:ascii="Arial" w:eastAsia="Arial" w:hAnsi="Arial" w:cs="Arial"/>
          <w:b/>
          <w:bCs/>
          <w:lang w:eastAsia="cs-CZ"/>
        </w:rPr>
        <w:t xml:space="preserve">dobu </w:t>
      </w:r>
      <w:r w:rsidR="00482FED">
        <w:rPr>
          <w:rFonts w:ascii="Arial" w:eastAsia="Arial" w:hAnsi="Arial" w:cs="Arial"/>
          <w:b/>
          <w:bCs/>
          <w:lang w:eastAsia="cs-CZ"/>
        </w:rPr>
        <w:t>ne</w:t>
      </w:r>
      <w:r w:rsidR="000B74A1" w:rsidRPr="002417C4">
        <w:rPr>
          <w:rFonts w:ascii="Arial" w:hAnsi="Arial" w:cs="Arial"/>
          <w:b/>
          <w:bCs/>
        </w:rPr>
        <w:t>určitou</w:t>
      </w:r>
      <w:r w:rsidRPr="000B74A1">
        <w:rPr>
          <w:rFonts w:ascii="Arial" w:eastAsia="Arial" w:hAnsi="Arial" w:cs="Arial"/>
          <w:lang w:eastAsia="cs-CZ"/>
        </w:rPr>
        <w:t xml:space="preserve">. </w:t>
      </w:r>
    </w:p>
    <w:p w14:paraId="035B5441" w14:textId="77777777" w:rsidR="001768C0" w:rsidRPr="001768C0" w:rsidRDefault="001768C0" w:rsidP="00CD315D">
      <w:pPr>
        <w:autoSpaceDE w:val="0"/>
        <w:autoSpaceDN w:val="0"/>
        <w:adjustRightInd w:val="0"/>
        <w:spacing w:after="0" w:line="240" w:lineRule="auto"/>
        <w:jc w:val="both"/>
        <w:rPr>
          <w:rFonts w:ascii="Arial" w:eastAsia="Arial" w:hAnsi="Arial" w:cs="Arial"/>
          <w:highlight w:val="yellow"/>
          <w:lang w:eastAsia="cs-CZ"/>
        </w:rPr>
      </w:pPr>
    </w:p>
    <w:p w14:paraId="61BBE594" w14:textId="62AC7DDF"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Předpokládaným</w:t>
      </w:r>
      <w:r w:rsidR="004E55AD">
        <w:rPr>
          <w:rFonts w:ascii="Arial" w:eastAsia="Arial" w:hAnsi="Arial" w:cs="Arial"/>
          <w:lang w:eastAsia="cs-CZ"/>
        </w:rPr>
        <w:t xml:space="preserve"> </w:t>
      </w:r>
      <w:r w:rsidRPr="004E55AD">
        <w:rPr>
          <w:rFonts w:ascii="Arial" w:eastAsia="Arial" w:hAnsi="Arial" w:cs="Arial"/>
          <w:b/>
          <w:bCs/>
          <w:lang w:eastAsia="cs-CZ"/>
        </w:rPr>
        <w:t>nástup</w:t>
      </w:r>
      <w:r w:rsidR="008F6678">
        <w:rPr>
          <w:rFonts w:ascii="Arial" w:eastAsia="Arial" w:hAnsi="Arial" w:cs="Arial"/>
          <w:b/>
          <w:bCs/>
          <w:lang w:eastAsia="cs-CZ"/>
        </w:rPr>
        <w:t>em</w:t>
      </w:r>
      <w:r w:rsidR="00627A0D" w:rsidRPr="004E55AD">
        <w:rPr>
          <w:rFonts w:ascii="Arial" w:eastAsia="Arial" w:hAnsi="Arial" w:cs="Arial"/>
          <w:b/>
          <w:bCs/>
          <w:lang w:eastAsia="cs-CZ"/>
        </w:rPr>
        <w:t xml:space="preserve"> </w:t>
      </w:r>
      <w:r w:rsidRPr="004B0ABE">
        <w:rPr>
          <w:rFonts w:ascii="Arial" w:eastAsia="Arial" w:hAnsi="Arial" w:cs="Arial"/>
          <w:b/>
          <w:bCs/>
          <w:lang w:eastAsia="cs-CZ"/>
        </w:rPr>
        <w:t>do služby na služebním místě je</w:t>
      </w:r>
      <w:r w:rsidR="004E55AD">
        <w:rPr>
          <w:rFonts w:ascii="Arial" w:eastAsia="Arial" w:hAnsi="Arial" w:cs="Arial"/>
          <w:b/>
          <w:bCs/>
          <w:lang w:eastAsia="cs-CZ"/>
        </w:rPr>
        <w:t xml:space="preserve"> </w:t>
      </w:r>
      <w:r w:rsidR="007E4AD5">
        <w:rPr>
          <w:rFonts w:ascii="Arial" w:eastAsia="Arial" w:hAnsi="Arial" w:cs="Arial"/>
          <w:b/>
          <w:bCs/>
          <w:lang w:eastAsia="cs-CZ"/>
        </w:rPr>
        <w:t>srpen</w:t>
      </w:r>
      <w:r w:rsidR="004E55AD">
        <w:rPr>
          <w:rFonts w:ascii="Arial" w:eastAsia="Arial" w:hAnsi="Arial" w:cs="Arial"/>
          <w:b/>
          <w:bCs/>
          <w:lang w:eastAsia="cs-CZ"/>
        </w:rPr>
        <w:t xml:space="preserve"> </w:t>
      </w:r>
      <w:r w:rsidRPr="004B0ABE">
        <w:rPr>
          <w:rFonts w:ascii="Arial" w:eastAsia="Arial" w:hAnsi="Arial" w:cs="Arial"/>
          <w:b/>
          <w:bCs/>
          <w:lang w:eastAsia="cs-CZ"/>
        </w:rPr>
        <w:t>202</w:t>
      </w:r>
      <w:r w:rsidR="00912D20">
        <w:rPr>
          <w:rFonts w:ascii="Arial" w:eastAsia="Arial" w:hAnsi="Arial" w:cs="Arial"/>
          <w:b/>
          <w:bCs/>
          <w:lang w:eastAsia="cs-CZ"/>
        </w:rPr>
        <w:t>5</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CD315D">
      <w:pPr>
        <w:autoSpaceDE w:val="0"/>
        <w:autoSpaceDN w:val="0"/>
        <w:adjustRightInd w:val="0"/>
        <w:spacing w:after="0" w:line="240" w:lineRule="auto"/>
        <w:jc w:val="both"/>
        <w:rPr>
          <w:rFonts w:ascii="Arial" w:eastAsia="Arial" w:hAnsi="Arial" w:cs="Arial"/>
          <w:lang w:eastAsia="cs-CZ"/>
        </w:rPr>
      </w:pPr>
    </w:p>
    <w:p w14:paraId="04B5908F" w14:textId="63A9B341" w:rsidR="001768C0" w:rsidRPr="004B0ABE" w:rsidRDefault="001768C0" w:rsidP="00CD315D">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9" w:history="1">
        <w:r w:rsidR="00632E25" w:rsidRPr="00D971FD">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CD315D">
      <w:pPr>
        <w:spacing w:after="0" w:line="240" w:lineRule="auto"/>
        <w:jc w:val="both"/>
        <w:rPr>
          <w:rFonts w:ascii="Arial" w:hAnsi="Arial" w:cs="Arial"/>
        </w:rPr>
      </w:pPr>
    </w:p>
    <w:p w14:paraId="639F47D4" w14:textId="5D6400B3" w:rsidR="00B54956" w:rsidRDefault="001768C0" w:rsidP="00CD315D">
      <w:pPr>
        <w:spacing w:after="0" w:line="240" w:lineRule="auto"/>
        <w:jc w:val="both"/>
        <w:rPr>
          <w:rFonts w:ascii="Arial" w:hAnsi="Arial" w:cs="Arial"/>
        </w:rPr>
      </w:pPr>
      <w:r w:rsidRPr="004B0ABE">
        <w:rPr>
          <w:rFonts w:ascii="Arial" w:hAnsi="Arial" w:cs="Arial"/>
        </w:rPr>
        <w:t xml:space="preserve">Služební úřad poskytuje následující benefity: </w:t>
      </w:r>
      <w:hyperlink r:id="rId10" w:history="1">
        <w:r w:rsidR="00880097" w:rsidRPr="001505EA">
          <w:rPr>
            <w:rStyle w:val="Hypertextovodkaz"/>
            <w:rFonts w:ascii="Arial" w:hAnsi="Arial" w:cs="Arial"/>
          </w:rPr>
          <w:t>https://mmr.gov.cz/cs/kariera/benefity</w:t>
        </w:r>
      </w:hyperlink>
      <w:r>
        <w:rPr>
          <w:rFonts w:ascii="Arial" w:hAnsi="Arial" w:cs="Arial"/>
        </w:rPr>
        <w:t xml:space="preserve"> </w:t>
      </w:r>
    </w:p>
    <w:p w14:paraId="76E27B64" w14:textId="2F57FBCF"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lastRenderedPageBreak/>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7E79B947" w:rsidR="00B54BFA" w:rsidRPr="00335432" w:rsidRDefault="00B54BFA" w:rsidP="006E52A8">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nebo žádosti o </w:t>
      </w:r>
      <w:r w:rsidR="00C02F17">
        <w:rPr>
          <w:rFonts w:ascii="Arial" w:eastAsia="Arial" w:hAnsi="Arial" w:cs="Arial"/>
          <w:color w:val="000000"/>
          <w:lang w:eastAsia="cs-CZ"/>
        </w:rPr>
        <w:t>zařazení</w:t>
      </w:r>
      <w:r w:rsidR="00C02F17"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008C76C9">
        <w:rPr>
          <w:rFonts w:ascii="Arial" w:eastAsia="Arial" w:hAnsi="Arial" w:cs="Arial"/>
          <w:b/>
          <w:bCs/>
          <w:color w:val="000000"/>
          <w:lang w:eastAsia="cs-CZ"/>
        </w:rPr>
        <w:t>doručené</w:t>
      </w:r>
      <w:r w:rsidRPr="00335432">
        <w:rPr>
          <w:rFonts w:ascii="Arial" w:eastAsia="Arial" w:hAnsi="Arial" w:cs="Arial"/>
          <w:b/>
          <w:bCs/>
          <w:color w:val="000000"/>
          <w:lang w:eastAsia="cs-CZ"/>
        </w:rPr>
        <w:t xml:space="preserve"> ve lhůtě do </w:t>
      </w:r>
      <w:r w:rsidR="00DB704E">
        <w:rPr>
          <w:rFonts w:ascii="Arial" w:eastAsia="Arial" w:hAnsi="Arial" w:cs="Arial"/>
          <w:b/>
          <w:bCs/>
          <w:color w:val="000000"/>
          <w:lang w:eastAsia="cs-CZ"/>
        </w:rPr>
        <w:t>7</w:t>
      </w:r>
      <w:r w:rsidR="00DF6A7C">
        <w:rPr>
          <w:rFonts w:ascii="Arial" w:eastAsia="Arial" w:hAnsi="Arial" w:cs="Arial"/>
          <w:b/>
          <w:bCs/>
          <w:color w:val="000000"/>
          <w:lang w:eastAsia="cs-CZ"/>
        </w:rPr>
        <w:t xml:space="preserve">. </w:t>
      </w:r>
      <w:r w:rsidR="007E4AD5">
        <w:rPr>
          <w:rFonts w:ascii="Arial" w:eastAsia="Arial" w:hAnsi="Arial" w:cs="Arial"/>
          <w:b/>
          <w:bCs/>
          <w:color w:val="000000"/>
          <w:lang w:eastAsia="cs-CZ"/>
        </w:rPr>
        <w:t>července</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912D20">
        <w:rPr>
          <w:rFonts w:ascii="Arial" w:eastAsia="Arial" w:hAnsi="Arial" w:cs="Arial"/>
          <w:b/>
          <w:bCs/>
          <w:color w:val="000000"/>
          <w:lang w:eastAsia="cs-CZ"/>
        </w:rPr>
        <w:t>5</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3A66D2">
        <w:rPr>
          <w:rFonts w:ascii="Arial" w:eastAsia="Arial" w:hAnsi="Arial" w:cs="Arial"/>
          <w:color w:val="000000"/>
          <w:lang w:eastAsia="cs-CZ"/>
        </w:rPr>
        <w:t> </w:t>
      </w:r>
      <w:r w:rsidRPr="00335432">
        <w:rPr>
          <w:rFonts w:ascii="Arial" w:eastAsia="Arial" w:hAnsi="Arial" w:cs="Arial"/>
          <w:color w:val="000000"/>
          <w:lang w:eastAsia="cs-CZ"/>
        </w:rPr>
        <w:t>v</w:t>
      </w:r>
      <w:r w:rsidR="003A66D2">
        <w:rPr>
          <w:rFonts w:ascii="Arial" w:eastAsia="Arial" w:hAnsi="Arial" w:cs="Arial"/>
          <w:color w:val="000000"/>
          <w:lang w:eastAsia="cs-CZ"/>
        </w:rPr>
        <w:t> </w:t>
      </w:r>
      <w:r w:rsidRPr="00335432">
        <w:rPr>
          <w:rFonts w:ascii="Arial" w:eastAsia="Arial" w:hAnsi="Arial" w:cs="Arial"/>
          <w:color w:val="000000"/>
          <w:lang w:eastAsia="cs-CZ"/>
        </w:rPr>
        <w:t>této lhůtě</w:t>
      </w:r>
    </w:p>
    <w:p w14:paraId="1D9031C0"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podané v elektronické podobě</w:t>
      </w:r>
      <w:r>
        <w:rPr>
          <w:rStyle w:val="Znakapoznpodarou"/>
          <w:rFonts w:ascii="Arial" w:hAnsi="Arial" w:cs="Arial"/>
        </w:rPr>
        <w:footnoteReference w:id="2"/>
      </w:r>
      <w:r w:rsidRPr="00EB39C4">
        <w:rPr>
          <w:rFonts w:ascii="Arial" w:hAnsi="Arial" w:cs="Arial"/>
        </w:rPr>
        <w:t xml:space="preserve"> na adresu elektronické pošty</w:t>
      </w:r>
      <w:r>
        <w:rPr>
          <w:rFonts w:ascii="Arial" w:hAnsi="Arial" w:cs="Arial"/>
        </w:rPr>
        <w:t xml:space="preserve"> </w:t>
      </w:r>
      <w:r w:rsidRPr="00EB39C4">
        <w:rPr>
          <w:rFonts w:ascii="Arial" w:hAnsi="Arial" w:cs="Arial"/>
        </w:rPr>
        <w:t xml:space="preserve">služebního úřadu </w:t>
      </w:r>
      <w:r w:rsidRPr="00051C0B">
        <w:rPr>
          <w:rFonts w:ascii="Arial" w:hAnsi="Arial" w:cs="Arial"/>
          <w:b/>
          <w:bCs/>
        </w:rPr>
        <w:t>podatelna@mmr.</w:t>
      </w:r>
      <w:r>
        <w:rPr>
          <w:rFonts w:ascii="Arial" w:hAnsi="Arial" w:cs="Arial"/>
          <w:b/>
          <w:bCs/>
        </w:rPr>
        <w:t>gov.</w:t>
      </w:r>
      <w:r w:rsidRPr="00051C0B">
        <w:rPr>
          <w:rFonts w:ascii="Arial" w:hAnsi="Arial" w:cs="Arial"/>
          <w:b/>
          <w:bCs/>
        </w:rPr>
        <w:t>cz</w:t>
      </w:r>
      <w:r w:rsidRPr="00EB39C4">
        <w:rPr>
          <w:rFonts w:ascii="Arial" w:hAnsi="Arial" w:cs="Arial"/>
        </w:rPr>
        <w:t xml:space="preserve">; </w:t>
      </w:r>
    </w:p>
    <w:p w14:paraId="3FD15B35" w14:textId="77777777" w:rsidR="00B649B4" w:rsidRPr="005274E2"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5DA4CC88" w14:textId="77777777" w:rsidR="00B649B4" w:rsidRPr="00EB39C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w:t>
      </w:r>
      <w:r>
        <w:rPr>
          <w:rFonts w:ascii="Arial" w:hAnsi="Arial" w:cs="Arial"/>
        </w:rPr>
        <w:t xml:space="preserve"> </w:t>
      </w:r>
      <w:r w:rsidRPr="00EB39C4">
        <w:rPr>
          <w:rFonts w:ascii="Arial" w:hAnsi="Arial" w:cs="Arial"/>
        </w:rPr>
        <w:t xml:space="preserve">Staroměstské náměstí 6, 110 </w:t>
      </w:r>
      <w:r>
        <w:rPr>
          <w:rFonts w:ascii="Arial" w:hAnsi="Arial" w:cs="Arial"/>
        </w:rPr>
        <w:t>00</w:t>
      </w:r>
      <w:r w:rsidRPr="00EB39C4">
        <w:rPr>
          <w:rFonts w:ascii="Arial" w:hAnsi="Arial" w:cs="Arial"/>
        </w:rPr>
        <w:t xml:space="preserve"> Praha 1;</w:t>
      </w:r>
    </w:p>
    <w:p w14:paraId="164753CD" w14:textId="77777777" w:rsidR="00B649B4" w:rsidRDefault="00B649B4" w:rsidP="00221160">
      <w:pPr>
        <w:pStyle w:val="Odstavecseseznamem"/>
        <w:numPr>
          <w:ilvl w:val="0"/>
          <w:numId w:val="2"/>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E9448F">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1D86CFC7" w:rsidR="00B54BFA" w:rsidRPr="003A66D2" w:rsidRDefault="00B54BFA" w:rsidP="00E9448F">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„Výběrové řízení na služební místo</w:t>
      </w:r>
      <w:r w:rsidR="00ED452C">
        <w:rPr>
          <w:rFonts w:ascii="Arial" w:hAnsi="Arial" w:cs="Arial"/>
          <w:b/>
        </w:rPr>
        <w:t xml:space="preserve"> </w:t>
      </w:r>
      <w:r w:rsidR="007E4AD5" w:rsidRPr="00482FED">
        <w:rPr>
          <w:rFonts w:ascii="Arial" w:hAnsi="Arial" w:cs="Arial"/>
          <w:b/>
          <w:bCs/>
        </w:rPr>
        <w:t>metodika/metodičky územní dimenze</w:t>
      </w:r>
      <w:r w:rsidRPr="003A66D2">
        <w:rPr>
          <w:rFonts w:ascii="Arial" w:hAnsi="Arial" w:cs="Arial"/>
          <w:b/>
          <w:bCs/>
        </w:rPr>
        <w:t>,</w:t>
      </w:r>
      <w:r w:rsidR="00A43FCC" w:rsidRPr="003A66D2">
        <w:rPr>
          <w:rFonts w:ascii="Arial" w:hAnsi="Arial" w:cs="Arial"/>
          <w:b/>
          <w:bCs/>
        </w:rPr>
        <w:t xml:space="preserve"> </w:t>
      </w:r>
      <w:r w:rsidRPr="001662C6">
        <w:rPr>
          <w:rFonts w:ascii="Arial" w:hAnsi="Arial" w:cs="Arial"/>
          <w:b/>
          <w:bCs/>
        </w:rPr>
        <w:t>č.j.:</w:t>
      </w:r>
      <w:r w:rsidR="00ED452C" w:rsidRPr="001662C6">
        <w:rPr>
          <w:rFonts w:ascii="Arial" w:hAnsi="Arial" w:cs="Arial"/>
          <w:b/>
          <w:bCs/>
        </w:rPr>
        <w:t xml:space="preserve"> </w:t>
      </w:r>
      <w:r w:rsidR="003A66D2" w:rsidRPr="001662C6">
        <w:rPr>
          <w:rFonts w:ascii="Arial" w:hAnsi="Arial" w:cs="Arial"/>
          <w:b/>
          <w:bCs/>
        </w:rPr>
        <w:t>MMR-</w:t>
      </w:r>
      <w:r w:rsidR="007E4AD5">
        <w:rPr>
          <w:rFonts w:ascii="Arial" w:hAnsi="Arial" w:cs="Arial"/>
          <w:b/>
          <w:bCs/>
        </w:rPr>
        <w:t>46650</w:t>
      </w:r>
      <w:r w:rsidR="003A66D2" w:rsidRPr="001662C6">
        <w:rPr>
          <w:rFonts w:ascii="Arial" w:hAnsi="Arial" w:cs="Arial"/>
          <w:b/>
          <w:bCs/>
        </w:rPr>
        <w:t>/202</w:t>
      </w:r>
      <w:r w:rsidR="008F6678" w:rsidRPr="001662C6">
        <w:rPr>
          <w:rFonts w:ascii="Arial" w:hAnsi="Arial" w:cs="Arial"/>
          <w:b/>
          <w:bCs/>
        </w:rPr>
        <w:t>5</w:t>
      </w:r>
      <w:r w:rsidR="003A66D2" w:rsidRPr="001662C6">
        <w:rPr>
          <w:rFonts w:ascii="Arial" w:hAnsi="Arial" w:cs="Arial"/>
          <w:b/>
          <w:bCs/>
        </w:rPr>
        <w:t>-94</w:t>
      </w:r>
      <w:r w:rsidR="00A43FCC" w:rsidRPr="001662C6">
        <w:rPr>
          <w:rFonts w:ascii="Arial" w:hAnsi="Arial" w:cs="Arial"/>
          <w:b/>
          <w:bCs/>
        </w:rPr>
        <w:t>/</w:t>
      </w:r>
      <w:r w:rsidR="008F6678" w:rsidRPr="001662C6">
        <w:rPr>
          <w:rFonts w:ascii="Arial" w:hAnsi="Arial" w:cs="Arial"/>
          <w:b/>
          <w:bCs/>
        </w:rPr>
        <w:t>IČ</w:t>
      </w:r>
      <w:r w:rsidRPr="001662C6">
        <w:rPr>
          <w:rFonts w:ascii="Arial" w:hAnsi="Arial" w:cs="Arial"/>
          <w:b/>
          <w:bCs/>
        </w:rPr>
        <w:t>“.</w:t>
      </w:r>
      <w:r w:rsidRPr="003A66D2">
        <w:rPr>
          <w:rFonts w:ascii="Arial" w:hAnsi="Arial" w:cs="Arial"/>
          <w:b/>
          <w:bCs/>
        </w:rPr>
        <w:t xml:space="preserve"> </w:t>
      </w:r>
    </w:p>
    <w:p w14:paraId="27EB9A9D" w14:textId="775EDE73" w:rsidR="00FB12C2" w:rsidRPr="00A43FCC" w:rsidRDefault="00B54BFA" w:rsidP="00A43FCC">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743A69B" w14:textId="2C947E16" w:rsidR="005274E2" w:rsidRPr="005274E2" w:rsidRDefault="005274E2" w:rsidP="005274E2">
      <w:pPr>
        <w:spacing w:after="120" w:line="240" w:lineRule="auto"/>
        <w:jc w:val="both"/>
        <w:rPr>
          <w:rFonts w:ascii="Arial" w:hAnsi="Arial" w:cs="Arial"/>
          <w:bCs/>
        </w:rPr>
      </w:pPr>
      <w:r w:rsidRPr="00944F6F">
        <w:rPr>
          <w:rFonts w:ascii="Arial" w:hAnsi="Arial" w:cs="Arial"/>
          <w:bCs/>
        </w:rPr>
        <w:t>Výběrového řízení na výše uvedené služební místo, se v souladu se zákone</w:t>
      </w:r>
      <w:r w:rsidRPr="005274E2">
        <w:rPr>
          <w:rFonts w:ascii="Arial" w:hAnsi="Arial" w:cs="Arial"/>
          <w:bCs/>
          <w:color w:val="000000" w:themeColor="text1"/>
        </w:rPr>
        <w:t>m o státní službě může zúčastnit žadatel, který splňuje předpoklady a požadavky stanovené zákonem podle §</w:t>
      </w:r>
      <w:r>
        <w:rPr>
          <w:rFonts w:ascii="Arial" w:hAnsi="Arial" w:cs="Arial"/>
          <w:bCs/>
          <w:color w:val="000000" w:themeColor="text1"/>
        </w:rPr>
        <w:t xml:space="preserve"> </w:t>
      </w:r>
      <w:r w:rsidRPr="005274E2">
        <w:rPr>
          <w:rFonts w:ascii="Arial" w:hAnsi="Arial" w:cs="Arial"/>
          <w:bCs/>
          <w:color w:val="000000" w:themeColor="text1"/>
        </w:rPr>
        <w:t>25 odst. 1 a 3 zákona o státní službě:</w:t>
      </w:r>
    </w:p>
    <w:p w14:paraId="5437E504" w14:textId="5B66DAE2" w:rsidR="002417C4" w:rsidRPr="002B3265" w:rsidRDefault="002417C4" w:rsidP="00221160">
      <w:pPr>
        <w:pStyle w:val="Odstavecseseznamem"/>
        <w:numPr>
          <w:ilvl w:val="0"/>
          <w:numId w:val="3"/>
        </w:numPr>
        <w:spacing w:after="0"/>
        <w:ind w:left="567" w:hanging="283"/>
        <w:jc w:val="both"/>
        <w:rPr>
          <w:rFonts w:ascii="Arial" w:hAnsi="Arial" w:cs="Arial"/>
        </w:rPr>
      </w:pPr>
      <w:r w:rsidRPr="002B3265">
        <w:rPr>
          <w:rFonts w:ascii="Arial" w:hAnsi="Arial" w:cs="Arial"/>
        </w:rPr>
        <w:t>je státním občanem České republiky, občanem jiného členského státu Evropské unie nebo občanem státu, který je smluvním státem Dohody o Evropském hospodářském prostoru</w:t>
      </w:r>
      <w:r w:rsidR="00365E61">
        <w:rPr>
          <w:rFonts w:ascii="Arial" w:hAnsi="Arial" w:cs="Arial"/>
        </w:rPr>
        <w:t>;</w:t>
      </w:r>
    </w:p>
    <w:p w14:paraId="0CA8644C" w14:textId="13E808AA"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dosáhl věku 18 let;</w:t>
      </w:r>
    </w:p>
    <w:p w14:paraId="331C75CD" w14:textId="47A11F33"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 xml:space="preserve">je plně svéprávný; </w:t>
      </w:r>
    </w:p>
    <w:p w14:paraId="65E00A2B" w14:textId="0B36BF46" w:rsidR="00A674A4" w:rsidRPr="002B3265" w:rsidRDefault="00A674A4" w:rsidP="00221160">
      <w:pPr>
        <w:numPr>
          <w:ilvl w:val="0"/>
          <w:numId w:val="3"/>
        </w:numPr>
        <w:spacing w:after="0" w:line="240" w:lineRule="auto"/>
        <w:ind w:left="567" w:hanging="283"/>
        <w:jc w:val="both"/>
        <w:rPr>
          <w:rFonts w:ascii="Arial" w:hAnsi="Arial" w:cs="Arial"/>
        </w:rPr>
      </w:pPr>
      <w:r w:rsidRPr="002B3265">
        <w:rPr>
          <w:rFonts w:ascii="Arial" w:hAnsi="Arial" w:cs="Arial"/>
        </w:rPr>
        <w:t>je bezúhonný;</w:t>
      </w:r>
    </w:p>
    <w:p w14:paraId="23809977" w14:textId="4965FE8C" w:rsidR="005532F4" w:rsidRPr="005532F4" w:rsidRDefault="005532F4" w:rsidP="005532F4">
      <w:pPr>
        <w:pStyle w:val="Odstavecseseznamem"/>
        <w:numPr>
          <w:ilvl w:val="0"/>
          <w:numId w:val="3"/>
        </w:numPr>
        <w:spacing w:after="0" w:line="240" w:lineRule="auto"/>
        <w:contextualSpacing/>
        <w:jc w:val="both"/>
        <w:rPr>
          <w:rFonts w:ascii="Arial" w:hAnsi="Arial" w:cs="Arial"/>
        </w:rPr>
      </w:pPr>
      <w:r w:rsidRPr="008847CE">
        <w:rPr>
          <w:rFonts w:ascii="Arial" w:hAnsi="Arial" w:cs="Arial"/>
        </w:rPr>
        <w:t xml:space="preserve">dosáhl odborného zaměření vzdělání stanoveného služebním předpisem státní tajemnice č. </w:t>
      </w:r>
      <w:r>
        <w:rPr>
          <w:rFonts w:ascii="Arial" w:hAnsi="Arial" w:cs="Arial"/>
        </w:rPr>
        <w:t>1</w:t>
      </w:r>
      <w:r w:rsidR="007E4AD5">
        <w:rPr>
          <w:rFonts w:ascii="Arial" w:hAnsi="Arial" w:cs="Arial"/>
        </w:rPr>
        <w:t>4</w:t>
      </w:r>
      <w:r w:rsidRPr="008847CE">
        <w:rPr>
          <w:rFonts w:ascii="Arial" w:hAnsi="Arial" w:cs="Arial"/>
        </w:rPr>
        <w:t>/2025, č.j. MMR-</w:t>
      </w:r>
      <w:r w:rsidR="007E4AD5">
        <w:rPr>
          <w:rFonts w:ascii="Arial" w:hAnsi="Arial" w:cs="Arial"/>
        </w:rPr>
        <w:t>42579</w:t>
      </w:r>
      <w:r w:rsidRPr="008847CE">
        <w:rPr>
          <w:rFonts w:ascii="Arial" w:hAnsi="Arial" w:cs="Arial"/>
        </w:rPr>
        <w:t xml:space="preserve">/2025-94 pro toto služební místo, a to vysokoškolské vzdělání v magisterském studijním programu, </w:t>
      </w:r>
      <w:r w:rsidRPr="008F5E6D">
        <w:rPr>
          <w:rFonts w:ascii="Arial" w:hAnsi="Arial" w:cs="Arial"/>
        </w:rPr>
        <w:t xml:space="preserve">a to zaměření </w:t>
      </w:r>
      <w:r w:rsidR="007E4AD5">
        <w:rPr>
          <w:rFonts w:ascii="Arial" w:hAnsi="Arial" w:cs="Arial"/>
          <w:bCs/>
        </w:rPr>
        <w:t>přírodovědného nebo ekonomického</w:t>
      </w:r>
      <w:r w:rsidRPr="008F5E6D">
        <w:rPr>
          <w:rFonts w:ascii="Arial" w:hAnsi="Arial" w:cs="Arial"/>
          <w:bCs/>
        </w:rPr>
        <w:t>.</w:t>
      </w:r>
    </w:p>
    <w:p w14:paraId="717C8900" w14:textId="77777777" w:rsidR="005532F4" w:rsidRPr="001662C6" w:rsidRDefault="005532F4" w:rsidP="005532F4">
      <w:pPr>
        <w:pStyle w:val="Odstavecseseznamem"/>
        <w:tabs>
          <w:tab w:val="left" w:pos="1276"/>
        </w:tabs>
        <w:spacing w:after="0" w:line="240" w:lineRule="auto"/>
        <w:ind w:left="643"/>
        <w:contextualSpacing/>
        <w:jc w:val="both"/>
        <w:rPr>
          <w:rFonts w:ascii="Arial" w:hAnsi="Arial" w:cs="Arial"/>
        </w:rPr>
      </w:pPr>
      <w:r w:rsidRPr="001662C6">
        <w:rPr>
          <w:rFonts w:ascii="Arial" w:hAnsi="Arial" w:cs="Arial"/>
        </w:rPr>
        <w:t>Splnění tohoto požadavku se dokládá originálem nebo úředně ověřenou kopií příslušné listiny (vysokoškolský diplom).</w:t>
      </w:r>
    </w:p>
    <w:p w14:paraId="01812058" w14:textId="1595683F" w:rsidR="00FB12C2" w:rsidRPr="00D823D1" w:rsidRDefault="00A674A4" w:rsidP="00221160">
      <w:pPr>
        <w:pStyle w:val="Odstavecseseznamem"/>
        <w:numPr>
          <w:ilvl w:val="0"/>
          <w:numId w:val="3"/>
        </w:numPr>
        <w:spacing w:after="0" w:line="240" w:lineRule="auto"/>
        <w:jc w:val="both"/>
        <w:rPr>
          <w:rFonts w:ascii="Arial" w:hAnsi="Arial" w:cs="Arial"/>
        </w:rPr>
      </w:pPr>
      <w:r w:rsidRPr="00D823D1">
        <w:rPr>
          <w:rFonts w:ascii="Arial" w:hAnsi="Arial" w:cs="Arial"/>
        </w:rPr>
        <w:t>má potřebnou zdravotní způsobilost</w:t>
      </w:r>
      <w:r w:rsidR="00B649B4" w:rsidRPr="00D823D1">
        <w:rPr>
          <w:rFonts w:ascii="Arial" w:hAnsi="Arial" w:cs="Arial"/>
        </w:rPr>
        <w:t>;</w:t>
      </w:r>
    </w:p>
    <w:p w14:paraId="5C3FBD77" w14:textId="1898D45D" w:rsidR="005274E2" w:rsidRPr="00D823D1" w:rsidRDefault="005274E2" w:rsidP="00221160">
      <w:pPr>
        <w:pStyle w:val="Odstavecseseznamem"/>
        <w:numPr>
          <w:ilvl w:val="0"/>
          <w:numId w:val="3"/>
        </w:numPr>
        <w:spacing w:after="0" w:line="240" w:lineRule="auto"/>
        <w:jc w:val="both"/>
        <w:rPr>
          <w:rFonts w:ascii="Arial" w:hAnsi="Arial" w:cs="Arial"/>
          <w:color w:val="000000" w:themeColor="text1"/>
        </w:rPr>
      </w:pPr>
      <w:r w:rsidRPr="00D823D1">
        <w:rPr>
          <w:rFonts w:ascii="Arial" w:hAnsi="Arial" w:cs="Arial"/>
          <w:color w:val="000000" w:themeColor="text1"/>
        </w:rPr>
        <w:t xml:space="preserve">má potřebnou znalost českého jazyka, není-li státním občanem České republiky. </w:t>
      </w:r>
    </w:p>
    <w:p w14:paraId="14546D94" w14:textId="77777777" w:rsidR="005274E2" w:rsidRPr="005274E2" w:rsidRDefault="005274E2" w:rsidP="005274E2">
      <w:pPr>
        <w:spacing w:after="0" w:line="240" w:lineRule="auto"/>
        <w:ind w:left="567"/>
        <w:jc w:val="both"/>
        <w:rPr>
          <w:rFonts w:ascii="Arial" w:hAnsi="Arial" w:cs="Arial"/>
          <w:color w:val="000000" w:themeColor="text1"/>
        </w:rPr>
      </w:pPr>
    </w:p>
    <w:p w14:paraId="72CCB222" w14:textId="4C2D1146" w:rsidR="008F6678" w:rsidRDefault="005274E2" w:rsidP="00221160">
      <w:pPr>
        <w:spacing w:after="0" w:line="240" w:lineRule="auto"/>
        <w:ind w:left="567"/>
        <w:jc w:val="both"/>
        <w:rPr>
          <w:rFonts w:ascii="Arial" w:hAnsi="Arial" w:cs="Arial"/>
          <w:color w:val="000000" w:themeColor="text1"/>
        </w:rPr>
      </w:pPr>
      <w:r w:rsidRPr="005274E2">
        <w:rPr>
          <w:rFonts w:ascii="Arial" w:hAnsi="Arial" w:cs="Arial"/>
          <w:color w:val="000000" w:themeColor="text1"/>
        </w:rPr>
        <w:lastRenderedPageBreak/>
        <w:t xml:space="preserve">Žadatel je povinen splnění základních předpokladů uvedených v písmenech a), b) a e) doložit příslušnými listinami, při podání žádosti lze místo předložení originálu listiny doložit pouze její kopii nebo čestným prohlášením, které je součástí formuláře žádosti. Originál nebo úředně ověřenou kopii listiny žadatel </w:t>
      </w:r>
      <w:proofErr w:type="gramStart"/>
      <w:r w:rsidRPr="005274E2">
        <w:rPr>
          <w:rFonts w:ascii="Arial" w:hAnsi="Arial" w:cs="Arial"/>
          <w:color w:val="000000" w:themeColor="text1"/>
        </w:rPr>
        <w:t>předloží</w:t>
      </w:r>
      <w:proofErr w:type="gramEnd"/>
      <w:r w:rsidRPr="005274E2">
        <w:rPr>
          <w:rFonts w:ascii="Arial" w:hAnsi="Arial" w:cs="Arial"/>
          <w:color w:val="000000" w:themeColor="text1"/>
        </w:rPr>
        <w:t xml:space="preserve"> nejpozději po výzvě služebního orgánu (§ 28a odst. 1 zákona o státní službě). </w:t>
      </w:r>
    </w:p>
    <w:p w14:paraId="69BDEB21" w14:textId="77777777" w:rsidR="007E4AD5" w:rsidRDefault="007E4AD5" w:rsidP="00221160">
      <w:pPr>
        <w:spacing w:after="0" w:line="240" w:lineRule="auto"/>
        <w:ind w:left="567"/>
        <w:jc w:val="both"/>
        <w:rPr>
          <w:rFonts w:ascii="Arial" w:hAnsi="Arial" w:cs="Arial"/>
          <w:color w:val="000000" w:themeColor="text1"/>
        </w:rPr>
      </w:pPr>
    </w:p>
    <w:p w14:paraId="2588D81D" w14:textId="7BC87168" w:rsidR="007E4AD5" w:rsidRDefault="007E4AD5" w:rsidP="007E4AD5">
      <w:pPr>
        <w:pStyle w:val="Odstavecseseznamem"/>
        <w:numPr>
          <w:ilvl w:val="0"/>
          <w:numId w:val="5"/>
        </w:numPr>
        <w:spacing w:after="120" w:line="240" w:lineRule="auto"/>
        <w:ind w:left="709" w:hanging="357"/>
        <w:jc w:val="both"/>
        <w:rPr>
          <w:rFonts w:ascii="Arial" w:hAnsi="Arial" w:cs="Arial"/>
          <w:color w:val="000000" w:themeColor="text1"/>
        </w:rPr>
      </w:pPr>
      <w:r w:rsidRPr="00C03BF7">
        <w:rPr>
          <w:rFonts w:ascii="Arial" w:hAnsi="Arial" w:cs="Arial"/>
          <w:color w:val="000000" w:themeColor="text1"/>
        </w:rPr>
        <w:t xml:space="preserve">splňuje jiný požadavek </w:t>
      </w:r>
      <w:r w:rsidRPr="00AF6587">
        <w:rPr>
          <w:rFonts w:ascii="Arial" w:hAnsi="Arial" w:cs="Arial"/>
        </w:rPr>
        <w:t xml:space="preserve">podle § 25 odst. </w:t>
      </w:r>
      <w:r>
        <w:rPr>
          <w:rFonts w:ascii="Arial" w:hAnsi="Arial" w:cs="Arial"/>
        </w:rPr>
        <w:t>3</w:t>
      </w:r>
      <w:r w:rsidRPr="00AF6587">
        <w:rPr>
          <w:rFonts w:ascii="Arial" w:hAnsi="Arial" w:cs="Arial"/>
        </w:rPr>
        <w:t xml:space="preserve"> písm. a) zákona o státní službě služebním předpisem státní tajemnice č. </w:t>
      </w:r>
      <w:r>
        <w:rPr>
          <w:rFonts w:ascii="Arial" w:hAnsi="Arial" w:cs="Arial"/>
          <w:color w:val="000000" w:themeColor="text1"/>
        </w:rPr>
        <w:t xml:space="preserve">14/2025, č.j. </w:t>
      </w:r>
      <w:r w:rsidRPr="008C4B7E">
        <w:rPr>
          <w:rFonts w:ascii="Arial" w:hAnsi="Arial" w:cs="Arial"/>
        </w:rPr>
        <w:t>MMR-</w:t>
      </w:r>
      <w:r>
        <w:rPr>
          <w:rFonts w:ascii="Arial" w:hAnsi="Arial" w:cs="Arial"/>
        </w:rPr>
        <w:t>42579</w:t>
      </w:r>
      <w:r w:rsidRPr="008C4B7E">
        <w:rPr>
          <w:rFonts w:ascii="Arial" w:hAnsi="Arial" w:cs="Arial"/>
        </w:rPr>
        <w:t>/2025-94</w:t>
      </w:r>
      <w:r w:rsidRPr="00AA1368">
        <w:rPr>
          <w:rFonts w:ascii="Arial" w:hAnsi="Arial" w:cs="Arial"/>
          <w:color w:val="000000" w:themeColor="text1"/>
        </w:rPr>
        <w:t>,</w:t>
      </w:r>
      <w:r w:rsidRPr="00C03BF7">
        <w:rPr>
          <w:rFonts w:ascii="Arial" w:hAnsi="Arial" w:cs="Arial"/>
          <w:color w:val="000000" w:themeColor="text1"/>
        </w:rPr>
        <w:t xml:space="preserve"> kterým je:</w:t>
      </w:r>
    </w:p>
    <w:p w14:paraId="346A6ADC" w14:textId="00E9AAAF" w:rsidR="007E4AD5" w:rsidRPr="00CE4F51" w:rsidRDefault="007E4AD5" w:rsidP="007E4AD5">
      <w:pPr>
        <w:pStyle w:val="Odstavecseseznamem"/>
        <w:numPr>
          <w:ilvl w:val="0"/>
          <w:numId w:val="7"/>
        </w:numPr>
        <w:spacing w:after="0" w:line="240" w:lineRule="auto"/>
        <w:contextualSpacing/>
        <w:jc w:val="both"/>
        <w:rPr>
          <w:rFonts w:ascii="Arial" w:hAnsi="Arial" w:cs="Arial"/>
        </w:rPr>
      </w:pPr>
      <w:r w:rsidRPr="00D745F7">
        <w:rPr>
          <w:rFonts w:ascii="Arial" w:hAnsi="Arial" w:cs="Arial"/>
        </w:rPr>
        <w:t>úrov</w:t>
      </w:r>
      <w:r>
        <w:rPr>
          <w:rFonts w:ascii="Arial" w:hAnsi="Arial" w:cs="Arial"/>
        </w:rPr>
        <w:t>eň</w:t>
      </w:r>
      <w:r w:rsidRPr="00D745F7">
        <w:rPr>
          <w:rFonts w:ascii="Arial" w:hAnsi="Arial" w:cs="Arial"/>
        </w:rPr>
        <w:t xml:space="preserve"> znalosti cizího jazyka, a to znalost odpovídající alespoň 1. stupni znalosti cizího jazyka pro standardizované jazykové zkoušky stanovené rozhodnutím Ministerstva školství, mládeže a tělovýchovy. </w:t>
      </w:r>
    </w:p>
    <w:p w14:paraId="71923BDB" w14:textId="77777777" w:rsidR="007E4AD5" w:rsidRDefault="007E4AD5" w:rsidP="007E4AD5">
      <w:pPr>
        <w:spacing w:after="0" w:line="240" w:lineRule="auto"/>
        <w:ind w:left="1068"/>
        <w:jc w:val="both"/>
        <w:rPr>
          <w:rFonts w:ascii="Arial" w:hAnsi="Arial" w:cs="Arial"/>
        </w:rPr>
      </w:pPr>
    </w:p>
    <w:p w14:paraId="120F3AC5" w14:textId="77777777" w:rsidR="007E4AD5" w:rsidRDefault="007E4AD5" w:rsidP="007E4AD5">
      <w:pPr>
        <w:spacing w:after="0" w:line="240" w:lineRule="auto"/>
        <w:ind w:left="1068"/>
        <w:jc w:val="both"/>
        <w:rPr>
          <w:rFonts w:ascii="Arial" w:hAnsi="Arial" w:cs="Arial"/>
        </w:rPr>
      </w:pPr>
      <w:r w:rsidRPr="00CE4F51">
        <w:rPr>
          <w:rFonts w:ascii="Arial" w:hAnsi="Arial" w:cs="Arial"/>
        </w:rPr>
        <w:t>Splnění tohoto požadavku se dokládá originálem nebo úředně ověřenou kopií vysvědčení/osvědčení nebo jiného dokladu prokazující úroveň znalosti cizího jazyka přiloženého k</w:t>
      </w:r>
      <w:r>
        <w:rPr>
          <w:rFonts w:ascii="Arial" w:hAnsi="Arial" w:cs="Arial"/>
        </w:rPr>
        <w:t> </w:t>
      </w:r>
      <w:r w:rsidRPr="00CE4F51">
        <w:rPr>
          <w:rFonts w:ascii="Arial" w:hAnsi="Arial" w:cs="Arial"/>
        </w:rPr>
        <w:t>žádosti</w:t>
      </w:r>
      <w:r>
        <w:rPr>
          <w:rFonts w:ascii="Arial" w:hAnsi="Arial" w:cs="Arial"/>
        </w:rPr>
        <w:t>.</w:t>
      </w:r>
    </w:p>
    <w:p w14:paraId="09A4B393" w14:textId="77777777" w:rsidR="006E388A" w:rsidRDefault="006E388A" w:rsidP="00221160">
      <w:pPr>
        <w:spacing w:after="0" w:line="240" w:lineRule="auto"/>
        <w:ind w:left="567"/>
        <w:jc w:val="both"/>
        <w:rPr>
          <w:rFonts w:ascii="Arial" w:hAnsi="Arial" w:cs="Arial"/>
          <w:color w:val="000000" w:themeColor="text1"/>
        </w:rPr>
      </w:pPr>
    </w:p>
    <w:p w14:paraId="4C47A64F" w14:textId="45CF57B1" w:rsidR="00FC30DC" w:rsidRPr="00386F19" w:rsidRDefault="00FC30DC" w:rsidP="00BF42C4">
      <w:pPr>
        <w:pStyle w:val="Nadpis1"/>
        <w:shd w:val="clear" w:color="auto" w:fill="BFBFBF" w:themeFill="background1" w:themeFillShade="BF"/>
        <w:tabs>
          <w:tab w:val="left" w:pos="708"/>
          <w:tab w:val="left" w:pos="1416"/>
          <w:tab w:val="left" w:pos="2124"/>
          <w:tab w:val="left" w:pos="2832"/>
          <w:tab w:val="left" w:pos="3825"/>
        </w:tabs>
        <w:spacing w:before="360" w:line="240" w:lineRule="auto"/>
        <w:jc w:val="both"/>
        <w:rPr>
          <w:rFonts w:ascii="Arial" w:hAnsi="Arial" w:cs="Arial"/>
          <w:color w:val="000000" w:themeColor="text1"/>
          <w:sz w:val="22"/>
          <w:szCs w:val="22"/>
        </w:rPr>
      </w:pPr>
      <w:r w:rsidRPr="00386F19">
        <w:rPr>
          <w:rFonts w:ascii="Arial" w:hAnsi="Arial" w:cs="Arial"/>
          <w:color w:val="000000" w:themeColor="text1"/>
          <w:sz w:val="22"/>
          <w:szCs w:val="22"/>
        </w:rPr>
        <w:t>6.</w:t>
      </w:r>
      <w:r w:rsidR="00DD540E">
        <w:rPr>
          <w:rFonts w:ascii="Arial" w:hAnsi="Arial" w:cs="Arial"/>
          <w:color w:val="000000" w:themeColor="text1"/>
          <w:sz w:val="22"/>
          <w:szCs w:val="22"/>
        </w:rPr>
        <w:t xml:space="preserve"> </w:t>
      </w:r>
      <w:r w:rsidR="005274E2">
        <w:rPr>
          <w:rFonts w:ascii="Arial" w:hAnsi="Arial" w:cs="Arial"/>
          <w:color w:val="000000" w:themeColor="text1"/>
          <w:sz w:val="22"/>
          <w:szCs w:val="22"/>
        </w:rPr>
        <w:t xml:space="preserve">        </w:t>
      </w:r>
      <w:r w:rsidR="00DD540E">
        <w:rPr>
          <w:rFonts w:ascii="Arial" w:hAnsi="Arial" w:cs="Arial"/>
          <w:color w:val="000000" w:themeColor="text1"/>
          <w:sz w:val="22"/>
          <w:szCs w:val="22"/>
        </w:rPr>
        <w:t>P</w:t>
      </w:r>
      <w:r w:rsidRPr="00386F19">
        <w:rPr>
          <w:rFonts w:ascii="Arial" w:hAnsi="Arial" w:cs="Arial"/>
          <w:color w:val="000000" w:themeColor="text1"/>
          <w:sz w:val="22"/>
          <w:szCs w:val="22"/>
        </w:rPr>
        <w:t>ovinné přílohy</w:t>
      </w:r>
    </w:p>
    <w:p w14:paraId="3FDE8A4C" w14:textId="77777777" w:rsidR="00B649B4" w:rsidRPr="00DD540E" w:rsidRDefault="00B649B4" w:rsidP="00221160">
      <w:pPr>
        <w:numPr>
          <w:ilvl w:val="0"/>
          <w:numId w:val="1"/>
        </w:numPr>
        <w:spacing w:after="0"/>
        <w:ind w:left="284" w:hanging="284"/>
        <w:jc w:val="both"/>
        <w:rPr>
          <w:rFonts w:ascii="Arial" w:hAnsi="Arial" w:cs="Arial"/>
        </w:rPr>
      </w:pPr>
      <w:r>
        <w:rPr>
          <w:rFonts w:ascii="Arial" w:hAnsi="Arial" w:cs="Arial"/>
        </w:rPr>
        <w:t>vyplněná a podepsaná žádost</w:t>
      </w:r>
    </w:p>
    <w:p w14:paraId="576C5A94" w14:textId="77777777" w:rsidR="00B649B4" w:rsidRPr="00386F19" w:rsidRDefault="00B649B4" w:rsidP="00221160">
      <w:pPr>
        <w:numPr>
          <w:ilvl w:val="0"/>
          <w:numId w:val="1"/>
        </w:numPr>
        <w:spacing w:after="0"/>
        <w:ind w:left="284" w:hanging="284"/>
        <w:jc w:val="both"/>
        <w:rPr>
          <w:rFonts w:ascii="Arial" w:hAnsi="Arial" w:cs="Arial"/>
        </w:rPr>
      </w:pPr>
      <w:r w:rsidRPr="00386F19">
        <w:rPr>
          <w:rFonts w:ascii="Arial" w:hAnsi="Arial" w:cs="Arial"/>
        </w:rPr>
        <w:t>strukturovaný profesní životopis</w:t>
      </w:r>
      <w:r>
        <w:rPr>
          <w:rStyle w:val="Znakapoznpodarou"/>
          <w:rFonts w:ascii="Arial" w:hAnsi="Arial" w:cs="Arial"/>
        </w:rPr>
        <w:footnoteReference w:id="3"/>
      </w:r>
    </w:p>
    <w:p w14:paraId="087063A2" w14:textId="15FE5011" w:rsidR="002147F1" w:rsidRP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4FF4EA4B" w14:textId="45745CBB" w:rsidR="002147F1" w:rsidRDefault="00B649B4" w:rsidP="00221160">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p>
    <w:p w14:paraId="462089D9" w14:textId="54195181" w:rsidR="007E4AD5" w:rsidRPr="00D823D1" w:rsidRDefault="007E4AD5" w:rsidP="00221160">
      <w:pPr>
        <w:numPr>
          <w:ilvl w:val="0"/>
          <w:numId w:val="1"/>
        </w:numPr>
        <w:spacing w:after="0"/>
        <w:ind w:left="284" w:hanging="284"/>
        <w:contextualSpacing/>
        <w:jc w:val="both"/>
        <w:rPr>
          <w:rFonts w:ascii="Arial" w:hAnsi="Arial" w:cs="Arial"/>
        </w:rPr>
      </w:pPr>
      <w:r>
        <w:rPr>
          <w:rFonts w:ascii="Arial" w:hAnsi="Arial" w:cs="Arial"/>
        </w:rPr>
        <w:t>doklad o znalosti cizího jazyka</w:t>
      </w:r>
    </w:p>
    <w:p w14:paraId="4A822F9D" w14:textId="1D58BD8C" w:rsidR="00FC30DC" w:rsidRPr="00386F19" w:rsidRDefault="00FC30DC" w:rsidP="00BF42C4">
      <w:pPr>
        <w:shd w:val="clear" w:color="auto" w:fill="BFBFBF" w:themeFill="background1" w:themeFillShade="BF"/>
        <w:tabs>
          <w:tab w:val="left" w:pos="708"/>
          <w:tab w:val="left" w:pos="1416"/>
          <w:tab w:val="left" w:pos="2124"/>
          <w:tab w:val="left" w:pos="2832"/>
          <w:tab w:val="left" w:pos="3825"/>
        </w:tabs>
        <w:spacing w:before="360" w:after="12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616F70DD" w14:textId="77777777" w:rsidR="00E53F9B" w:rsidRDefault="00FC30DC" w:rsidP="00BF42C4">
      <w:pPr>
        <w:spacing w:after="0"/>
        <w:jc w:val="both"/>
        <w:rPr>
          <w:rFonts w:ascii="Arial" w:hAnsi="Arial" w:cs="Arial"/>
        </w:rPr>
      </w:pPr>
      <w:r w:rsidRPr="00386F19">
        <w:rPr>
          <w:rFonts w:ascii="Arial" w:hAnsi="Arial" w:cs="Arial"/>
        </w:rPr>
        <w:t>Se žadateli, jejichž žádost nebyla vyřazena, provede výběrová komise pohovor.</w:t>
      </w:r>
      <w:r w:rsidR="00E9448F">
        <w:rPr>
          <w:rFonts w:ascii="Arial" w:hAnsi="Arial" w:cs="Arial"/>
        </w:rPr>
        <w:t xml:space="preserve"> </w:t>
      </w:r>
    </w:p>
    <w:p w14:paraId="25F9EBD2" w14:textId="77777777" w:rsidR="00E53F9B" w:rsidRDefault="00E53F9B" w:rsidP="00BF42C4">
      <w:pPr>
        <w:spacing w:after="0"/>
        <w:jc w:val="both"/>
        <w:rPr>
          <w:rFonts w:ascii="Arial" w:hAnsi="Arial" w:cs="Arial"/>
        </w:rPr>
      </w:pPr>
    </w:p>
    <w:p w14:paraId="1F94182F" w14:textId="18E537F8" w:rsidR="00E63460" w:rsidRDefault="00FB12C2" w:rsidP="00BF42C4">
      <w:pPr>
        <w:spacing w:after="0"/>
        <w:jc w:val="both"/>
        <w:rPr>
          <w:rFonts w:ascii="Arial" w:hAnsi="Arial" w:cs="Arial"/>
        </w:rPr>
      </w:pPr>
      <w:r>
        <w:rPr>
          <w:rFonts w:ascii="Arial" w:hAnsi="Arial" w:cs="Arial"/>
        </w:rPr>
        <w:t xml:space="preserve">V případě dotazů k tomuto výběrovému řízení se můžete obrátit na </w:t>
      </w:r>
      <w:r w:rsidR="00BA2539">
        <w:rPr>
          <w:rFonts w:ascii="Arial" w:hAnsi="Arial" w:cs="Arial"/>
        </w:rPr>
        <w:t>Bc. Ilonu Čapkovou</w:t>
      </w:r>
      <w:r w:rsidR="008C76C9">
        <w:rPr>
          <w:rFonts w:ascii="Arial" w:hAnsi="Arial" w:cs="Arial"/>
        </w:rPr>
        <w:t xml:space="preserve"> </w:t>
      </w:r>
      <w:r w:rsidR="00E9448F">
        <w:rPr>
          <w:rFonts w:ascii="Arial" w:hAnsi="Arial" w:cs="Arial"/>
        </w:rPr>
        <w:t xml:space="preserve">na </w:t>
      </w:r>
      <w:r>
        <w:rPr>
          <w:rFonts w:ascii="Arial" w:hAnsi="Arial" w:cs="Arial"/>
        </w:rPr>
        <w:t>e-mail</w:t>
      </w:r>
      <w:r w:rsidR="00E9448F">
        <w:rPr>
          <w:rFonts w:ascii="Arial" w:hAnsi="Arial" w:cs="Arial"/>
        </w:rPr>
        <w:t>ové adrese</w:t>
      </w:r>
      <w:r>
        <w:rPr>
          <w:rFonts w:ascii="Arial" w:hAnsi="Arial" w:cs="Arial"/>
        </w:rPr>
        <w:t xml:space="preserve"> </w:t>
      </w:r>
      <w:r w:rsidR="00BA2539">
        <w:rPr>
          <w:rFonts w:ascii="Arial" w:hAnsi="Arial" w:cs="Arial"/>
        </w:rPr>
        <w:t>Ilona.Capkova</w:t>
      </w:r>
      <w:r w:rsidR="00880097">
        <w:rPr>
          <w:rFonts w:ascii="Arial" w:hAnsi="Arial" w:cs="Arial"/>
        </w:rPr>
        <w:t>@mmr.gov.cz.</w:t>
      </w:r>
    </w:p>
    <w:p w14:paraId="1AB06CBC" w14:textId="0EF3C8BF" w:rsidR="002417C4" w:rsidRDefault="002417C4" w:rsidP="000A4827">
      <w:pPr>
        <w:spacing w:after="120" w:line="240" w:lineRule="auto"/>
        <w:rPr>
          <w:rFonts w:ascii="Arial" w:hAnsi="Arial" w:cs="Arial"/>
          <w:highlight w:val="yellow"/>
        </w:rPr>
      </w:pPr>
    </w:p>
    <w:p w14:paraId="5391DEC3" w14:textId="1E1BCBB7" w:rsidR="002417C4" w:rsidRDefault="002417C4" w:rsidP="000A4827">
      <w:pPr>
        <w:spacing w:after="120" w:line="240" w:lineRule="auto"/>
        <w:rPr>
          <w:rFonts w:ascii="Arial" w:hAnsi="Arial" w:cs="Arial"/>
          <w:highlight w:val="yellow"/>
        </w:rPr>
      </w:pPr>
    </w:p>
    <w:p w14:paraId="754D72D8" w14:textId="77777777" w:rsidR="00BF1EA5" w:rsidRDefault="00BF1EA5" w:rsidP="000A4827">
      <w:pPr>
        <w:spacing w:after="120" w:line="240" w:lineRule="auto"/>
        <w:rPr>
          <w:rFonts w:ascii="Arial" w:hAnsi="Arial" w:cs="Arial"/>
          <w:highlight w:val="yellow"/>
        </w:rPr>
      </w:pPr>
    </w:p>
    <w:p w14:paraId="6FF74971" w14:textId="77777777" w:rsidR="008C76C9" w:rsidRDefault="008C76C9" w:rsidP="000A4827">
      <w:pPr>
        <w:spacing w:after="120" w:line="240" w:lineRule="auto"/>
        <w:rPr>
          <w:rFonts w:ascii="Arial" w:hAnsi="Arial" w:cs="Arial"/>
          <w:highlight w:val="yellow"/>
        </w:rPr>
      </w:pPr>
    </w:p>
    <w:p w14:paraId="494FB2CF" w14:textId="77777777" w:rsidR="008C76C9" w:rsidRDefault="008C76C9" w:rsidP="000A4827">
      <w:pPr>
        <w:spacing w:after="120" w:line="240" w:lineRule="auto"/>
        <w:rPr>
          <w:rFonts w:ascii="Arial" w:hAnsi="Arial" w:cs="Arial"/>
          <w:highlight w:val="yellow"/>
        </w:rPr>
      </w:pPr>
    </w:p>
    <w:p w14:paraId="54559F53" w14:textId="77777777" w:rsidR="002147F1" w:rsidRDefault="002147F1" w:rsidP="000A4827">
      <w:pPr>
        <w:spacing w:after="120" w:line="240" w:lineRule="auto"/>
        <w:rPr>
          <w:rFonts w:ascii="Arial" w:hAnsi="Arial" w:cs="Arial"/>
          <w:highlight w:val="yellow"/>
        </w:rPr>
      </w:pPr>
    </w:p>
    <w:p w14:paraId="45CEFBAD" w14:textId="77777777" w:rsidR="002147F1" w:rsidRDefault="002147F1" w:rsidP="000A4827">
      <w:pPr>
        <w:spacing w:after="120" w:line="240" w:lineRule="auto"/>
        <w:rPr>
          <w:rFonts w:ascii="Arial" w:hAnsi="Arial" w:cs="Arial"/>
          <w:highlight w:val="yellow"/>
        </w:rPr>
      </w:pPr>
    </w:p>
    <w:p w14:paraId="3E2E4871" w14:textId="69E7D38B" w:rsidR="001662C6" w:rsidRDefault="001662C6" w:rsidP="007E4AD5">
      <w:pPr>
        <w:spacing w:after="0"/>
        <w:rPr>
          <w:rFonts w:ascii="Arial" w:hAnsi="Arial" w:cs="Arial"/>
        </w:rPr>
      </w:pPr>
    </w:p>
    <w:p w14:paraId="37CE495D" w14:textId="15B539A0" w:rsidR="005274E2" w:rsidRPr="005274E2" w:rsidRDefault="005274E2" w:rsidP="005274E2">
      <w:pPr>
        <w:spacing w:after="0" w:line="240" w:lineRule="auto"/>
        <w:contextualSpacing/>
        <w:jc w:val="both"/>
        <w:rPr>
          <w:rFonts w:ascii="Arial" w:hAnsi="Arial" w:cs="Arial"/>
          <w:color w:val="000000" w:themeColor="text1"/>
        </w:rPr>
      </w:pPr>
      <w:r w:rsidRPr="005274E2">
        <w:rPr>
          <w:rFonts w:ascii="Arial" w:hAnsi="Arial" w:cs="Arial"/>
          <w:b/>
          <w:bCs/>
          <w:color w:val="000000" w:themeColor="text1"/>
        </w:rPr>
        <w:t>Poučení o doručování ve výběrovém řízení podle § 24 odst. 11 a 12 zákona o</w:t>
      </w:r>
      <w:r w:rsidR="002E3FFE">
        <w:rPr>
          <w:rFonts w:ascii="Arial" w:hAnsi="Arial" w:cs="Arial"/>
          <w:b/>
          <w:bCs/>
          <w:color w:val="000000" w:themeColor="text1"/>
        </w:rPr>
        <w:t> </w:t>
      </w:r>
      <w:r w:rsidRPr="005274E2">
        <w:rPr>
          <w:rFonts w:ascii="Arial" w:hAnsi="Arial" w:cs="Arial"/>
          <w:b/>
          <w:bCs/>
          <w:color w:val="000000" w:themeColor="text1"/>
        </w:rPr>
        <w:t>státní službě:</w:t>
      </w:r>
      <w:r w:rsidRPr="005274E2">
        <w:rPr>
          <w:rFonts w:ascii="Arial" w:hAnsi="Arial" w:cs="Arial"/>
          <w:color w:val="000000" w:themeColor="text1"/>
        </w:rPr>
        <w:t xml:space="preserve"> </w:t>
      </w:r>
    </w:p>
    <w:p w14:paraId="7FE154FD"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 xml:space="preserve">V průběhu výběrového řízení se žadateli, který není státním zaměstnancem, doručuje na místě, popřípadě do datové schránky nebo na elektronickou adresu pro doručování (e-mail), pokud žadatel nemá datovou schránku zřízenu. Žadatelům z řad státních zaměstnanců se doručuje na místě, popřípadě prostřednictvím elektronického nástroje, a není-li to možné, prostřednictvím datové schránky. Nemá-li státní zaměstnanec datovou schránku zřízenu, doručuje se mu na elektronickou adresu pro doručování (e-mail). </w:t>
      </w:r>
    </w:p>
    <w:p w14:paraId="028676CF"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Pokud žadatel v žádosti elektronickou adresu pro doručování neuvede a nemá zřízenu datovou schránku, bude jeho žádost vyřazena.</w:t>
      </w:r>
    </w:p>
    <w:p w14:paraId="7B889147" w14:textId="77777777" w:rsidR="005274E2" w:rsidRPr="005274E2" w:rsidRDefault="005274E2" w:rsidP="002E3FFE">
      <w:pPr>
        <w:pStyle w:val="Odstavecseseznamem"/>
        <w:spacing w:line="240" w:lineRule="auto"/>
        <w:ind w:left="0"/>
        <w:jc w:val="both"/>
        <w:rPr>
          <w:rFonts w:ascii="Arial" w:hAnsi="Arial" w:cs="Arial"/>
          <w:color w:val="000000" w:themeColor="text1"/>
        </w:rPr>
      </w:pPr>
      <w:r w:rsidRPr="005274E2">
        <w:rPr>
          <w:rFonts w:ascii="Arial" w:hAnsi="Arial" w:cs="Arial"/>
          <w:color w:val="000000" w:themeColor="text1"/>
        </w:rPr>
        <w:t>Písemnost doručovaná žadateli ve výběrovém řízení na elektronickou adresu je doručena okamžikem, kdy její převzetí žadatel potvrdí. Jestliže žadatel její převzetí nepotvrdí ve lhůtě 5 dnů od jejího odeslání na adresu elektronické pošty, považuje se písemnost za doručenou pátým dnem ode dne, kdy byla odeslána (pokud se datová zpráva nevrátila jako nedoručitelná). Pokud nebude možno písemnost doručit, protože se datová zpráva vrátí jako nedoručitelná, učiní se neprodleně další pokus o doručení; bude-li i další pokus o doručení neúspěšný, doručí se písemnost jiným vhodným způsobem. V takovém případě pak bude platit, že písemnost bude doručena pátým dnem ode dne, kdy byla odeslána.</w:t>
      </w:r>
    </w:p>
    <w:p w14:paraId="413A45D5" w14:textId="77777777" w:rsidR="005274E2" w:rsidRDefault="005274E2" w:rsidP="002E3FFE">
      <w:pPr>
        <w:pStyle w:val="Odstavecseseznamem"/>
        <w:spacing w:after="0" w:line="240" w:lineRule="auto"/>
        <w:ind w:left="0"/>
        <w:jc w:val="both"/>
        <w:rPr>
          <w:rFonts w:ascii="Arial" w:hAnsi="Arial" w:cs="Arial"/>
          <w:color w:val="000000" w:themeColor="text1"/>
        </w:rPr>
      </w:pPr>
      <w:r w:rsidRPr="005274E2">
        <w:rPr>
          <w:rFonts w:ascii="Arial" w:hAnsi="Arial" w:cs="Arial"/>
          <w:color w:val="000000" w:themeColor="text1"/>
        </w:rPr>
        <w:t>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w:t>
      </w:r>
    </w:p>
    <w:p w14:paraId="3CB11DDF" w14:textId="77777777" w:rsidR="002E3FFE" w:rsidRPr="005274E2" w:rsidRDefault="002E3FFE" w:rsidP="002E3FFE">
      <w:pPr>
        <w:pStyle w:val="Odstavecseseznamem"/>
        <w:spacing w:after="0" w:line="240" w:lineRule="auto"/>
        <w:ind w:left="0"/>
        <w:jc w:val="both"/>
        <w:rPr>
          <w:rFonts w:ascii="Arial" w:hAnsi="Arial" w:cs="Arial"/>
          <w:color w:val="000000" w:themeColor="text1"/>
        </w:rPr>
      </w:pPr>
    </w:p>
    <w:p w14:paraId="58251E8C" w14:textId="77777777" w:rsidR="005274E2" w:rsidRPr="008C10F3" w:rsidRDefault="005274E2" w:rsidP="005274E2">
      <w:pPr>
        <w:spacing w:after="0" w:line="240" w:lineRule="auto"/>
        <w:contextualSpacing/>
        <w:jc w:val="both"/>
        <w:rPr>
          <w:rFonts w:ascii="Arial" w:hAnsi="Arial" w:cs="Arial"/>
        </w:rPr>
      </w:pPr>
      <w:r w:rsidRPr="008C10F3">
        <w:rPr>
          <w:rFonts w:ascii="Arial" w:hAnsi="Arial" w:cs="Arial"/>
          <w:b/>
          <w:bCs/>
        </w:rPr>
        <w:t>Poučení o možnosti provedení pohovoru v náhradním termínu podle § 27 odst. 5 zákona o státní službě:</w:t>
      </w:r>
      <w:r w:rsidRPr="008C10F3">
        <w:rPr>
          <w:rFonts w:ascii="Arial" w:hAnsi="Arial" w:cs="Arial"/>
        </w:rPr>
        <w:t xml:space="preserve"> </w:t>
      </w:r>
    </w:p>
    <w:p w14:paraId="18E46B1C" w14:textId="2311C0B2" w:rsidR="001240A5" w:rsidRDefault="005274E2" w:rsidP="005274E2">
      <w:pPr>
        <w:spacing w:after="0" w:line="240" w:lineRule="auto"/>
        <w:contextualSpacing/>
        <w:jc w:val="both"/>
        <w:rPr>
          <w:rFonts w:ascii="Arial" w:hAnsi="Arial" w:cs="Arial"/>
        </w:rPr>
      </w:pPr>
      <w:r w:rsidRPr="008C10F3">
        <w:rPr>
          <w:rFonts w:ascii="Arial" w:hAnsi="Arial" w:cs="Arial"/>
        </w:rPr>
        <w:t>V případě řádné omluvy žadatele z účasti na pohovoru mu může být stanoven náhradní termín pouze se souhlasem služebního orgánu, pokud provedení pohovoru v náhradním termínu nebrání řádnému plnění úkolů služebního úřadu.</w:t>
      </w:r>
    </w:p>
    <w:p w14:paraId="55B0A981" w14:textId="77777777" w:rsidR="007E4AD5" w:rsidRDefault="007E4AD5" w:rsidP="005274E2">
      <w:pPr>
        <w:spacing w:after="0" w:line="240" w:lineRule="auto"/>
        <w:contextualSpacing/>
        <w:jc w:val="both"/>
        <w:rPr>
          <w:rFonts w:ascii="Arial" w:hAnsi="Arial" w:cs="Arial"/>
        </w:rPr>
      </w:pPr>
    </w:p>
    <w:p w14:paraId="0AB59494" w14:textId="77777777" w:rsidR="007E4AD5" w:rsidRDefault="007E4AD5" w:rsidP="005274E2">
      <w:pPr>
        <w:spacing w:after="0" w:line="240" w:lineRule="auto"/>
        <w:contextualSpacing/>
        <w:jc w:val="both"/>
        <w:rPr>
          <w:rFonts w:ascii="Arial" w:hAnsi="Arial" w:cs="Arial"/>
        </w:rPr>
      </w:pPr>
    </w:p>
    <w:p w14:paraId="09DCEC17" w14:textId="77777777" w:rsidR="007E4AD5" w:rsidRDefault="007E4AD5" w:rsidP="005274E2">
      <w:pPr>
        <w:spacing w:after="0" w:line="240" w:lineRule="auto"/>
        <w:contextualSpacing/>
        <w:jc w:val="both"/>
        <w:rPr>
          <w:rFonts w:ascii="Arial" w:hAnsi="Arial" w:cs="Arial"/>
        </w:rPr>
      </w:pPr>
    </w:p>
    <w:p w14:paraId="450DD976" w14:textId="77777777" w:rsidR="007E4AD5" w:rsidRDefault="007E4AD5" w:rsidP="005274E2">
      <w:pPr>
        <w:spacing w:after="0" w:line="240" w:lineRule="auto"/>
        <w:contextualSpacing/>
        <w:jc w:val="both"/>
        <w:rPr>
          <w:rFonts w:ascii="Arial" w:hAnsi="Arial" w:cs="Arial"/>
        </w:rPr>
      </w:pPr>
    </w:p>
    <w:p w14:paraId="5510BF99" w14:textId="77777777" w:rsidR="007E4AD5" w:rsidRDefault="007E4AD5" w:rsidP="005274E2">
      <w:pPr>
        <w:spacing w:after="0" w:line="240" w:lineRule="auto"/>
        <w:contextualSpacing/>
        <w:jc w:val="both"/>
        <w:rPr>
          <w:rFonts w:ascii="Arial" w:hAnsi="Arial" w:cs="Arial"/>
        </w:rPr>
      </w:pPr>
    </w:p>
    <w:p w14:paraId="7072F006" w14:textId="77777777" w:rsidR="007E4AD5" w:rsidRPr="00D43753" w:rsidRDefault="007E4AD5" w:rsidP="005274E2">
      <w:pPr>
        <w:spacing w:after="0" w:line="240" w:lineRule="auto"/>
        <w:contextualSpacing/>
        <w:jc w:val="both"/>
        <w:rPr>
          <w:rFonts w:ascii="Arial" w:hAnsi="Arial" w:cs="Arial"/>
        </w:rPr>
      </w:pPr>
    </w:p>
    <w:p w14:paraId="0DEDDF07" w14:textId="77777777" w:rsidR="001240A5" w:rsidRDefault="001240A5" w:rsidP="001240A5">
      <w:pPr>
        <w:tabs>
          <w:tab w:val="left" w:pos="3700"/>
        </w:tabs>
        <w:spacing w:after="0" w:line="240" w:lineRule="auto"/>
        <w:contextualSpacing/>
        <w:jc w:val="both"/>
        <w:rPr>
          <w:rFonts w:ascii="Arial" w:hAnsi="Arial" w:cs="Arial"/>
        </w:rPr>
      </w:pPr>
      <w:r>
        <w:rPr>
          <w:rFonts w:ascii="Arial" w:hAnsi="Arial" w:cs="Arial"/>
        </w:rPr>
        <w:tab/>
      </w:r>
    </w:p>
    <w:p w14:paraId="4B004DE1" w14:textId="57F74F7E" w:rsidR="007E4AD5" w:rsidRPr="00E75BB8" w:rsidRDefault="007E4AD5" w:rsidP="007E4AD5">
      <w:pPr>
        <w:spacing w:after="0"/>
        <w:ind w:left="3540" w:firstLine="708"/>
        <w:rPr>
          <w:rFonts w:ascii="Arial" w:hAnsi="Arial" w:cs="Arial"/>
        </w:rPr>
      </w:pPr>
      <w:r>
        <w:rPr>
          <w:rFonts w:ascii="Arial" w:hAnsi="Arial" w:cs="Arial"/>
        </w:rPr>
        <w:t xml:space="preserve">        Mgr. Martina Postupová</w:t>
      </w:r>
    </w:p>
    <w:p w14:paraId="65B897FD" w14:textId="77777777" w:rsidR="007E4AD5" w:rsidRDefault="007E4AD5" w:rsidP="007E4AD5">
      <w:pPr>
        <w:spacing w:after="0"/>
        <w:ind w:left="2832"/>
        <w:rPr>
          <w:rFonts w:ascii="Arial" w:hAnsi="Arial" w:cs="Arial"/>
        </w:rPr>
      </w:pPr>
      <w:r w:rsidRPr="00E75BB8">
        <w:rPr>
          <w:rFonts w:ascii="Arial" w:hAnsi="Arial" w:cs="Arial"/>
        </w:rPr>
        <w:t xml:space="preserve">              státní tajemnice Ministerstva pro místní rozvoj</w:t>
      </w:r>
    </w:p>
    <w:p w14:paraId="7438A017" w14:textId="77777777" w:rsidR="00163CC1" w:rsidRDefault="00163CC1" w:rsidP="001240A5">
      <w:pPr>
        <w:spacing w:line="240" w:lineRule="auto"/>
        <w:rPr>
          <w:rFonts w:ascii="Arial" w:hAnsi="Arial" w:cs="Arial"/>
          <w:lang w:eastAsia="cs-CZ"/>
        </w:rPr>
      </w:pPr>
    </w:p>
    <w:sectPr w:rsidR="00163CC1" w:rsidSect="00040BCF">
      <w:headerReference w:type="default" r:id="rId11"/>
      <w:footerReference w:type="default" r:id="rId12"/>
      <w:headerReference w:type="first" r:id="rId13"/>
      <w:footerReference w:type="first" r:id="rId14"/>
      <w:pgSz w:w="11907" w:h="16839"/>
      <w:pgMar w:top="2154"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D6F5340"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BF4555">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6B4FCAE9"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AE5840">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1312"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6" w:name="zapati_adresa"/>
                          <w:bookmarkEnd w:id="6"/>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7" w:name="zapati_adresa"/>
                    <w:bookmarkEnd w:id="7"/>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60288"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8" w:name="zapati_logo"/>
    <w:bookmarkEnd w:id="8"/>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4966A382" w14:textId="77777777" w:rsidR="00B649B4" w:rsidRPr="00E7523D" w:rsidRDefault="00B649B4" w:rsidP="00B649B4">
      <w:pPr>
        <w:pStyle w:val="Textpoznpodarou"/>
        <w:rPr>
          <w:rFonts w:ascii="Arial" w:hAnsi="Arial" w:cs="Arial"/>
          <w:i/>
          <w:iCs/>
          <w:sz w:val="18"/>
          <w:szCs w:val="18"/>
        </w:rPr>
      </w:pPr>
      <w:r>
        <w:rPr>
          <w:rStyle w:val="Znakapoznpodarou"/>
        </w:rPr>
        <w:footnoteRef/>
      </w:r>
      <w:r>
        <w:t xml:space="preserve"> </w:t>
      </w:r>
      <w:r w:rsidRPr="00E7523D">
        <w:rPr>
          <w:rFonts w:ascii="Arial" w:hAnsi="Arial" w:cs="Arial"/>
          <w:i/>
          <w:iCs/>
          <w:sz w:val="18"/>
          <w:szCs w:val="18"/>
        </w:rPr>
        <w:t>Žádost nemusí být podepsaná uznávaným elektronickým podpisem.</w:t>
      </w:r>
    </w:p>
  </w:footnote>
  <w:footnote w:id="3">
    <w:p w14:paraId="6F4593AA" w14:textId="77777777" w:rsidR="00B649B4" w:rsidRPr="003E10EA" w:rsidRDefault="00B649B4" w:rsidP="00B649B4">
      <w:pPr>
        <w:pStyle w:val="Textpoznpodarou"/>
        <w:jc w:val="both"/>
        <w:rPr>
          <w:rFonts w:ascii="Arial" w:hAnsi="Arial" w:cs="Arial"/>
          <w:i/>
          <w:iCs/>
          <w:sz w:val="18"/>
          <w:szCs w:val="18"/>
        </w:rPr>
      </w:pPr>
      <w:r>
        <w:rPr>
          <w:rStyle w:val="Znakapoznpodarou"/>
        </w:rPr>
        <w:footnoteRef/>
      </w:r>
      <w:r>
        <w:t xml:space="preserve"> </w:t>
      </w:r>
      <w:r w:rsidRPr="003E10EA">
        <w:rPr>
          <w:rFonts w:ascii="Arial" w:hAnsi="Arial" w:cs="Arial"/>
          <w:i/>
          <w:iCs/>
          <w:sz w:val="18"/>
          <w:szCs w:val="18"/>
        </w:rPr>
        <w:t>V životopisu žadatel uvede údaje o své dosavadní praxi a o znalostech a dovednostech týkajících se</w:t>
      </w:r>
      <w:r>
        <w:rPr>
          <w:rFonts w:ascii="Arial" w:hAnsi="Arial" w:cs="Arial"/>
          <w:i/>
          <w:iCs/>
          <w:sz w:val="18"/>
          <w:szCs w:val="18"/>
        </w:rPr>
        <w:t xml:space="preserve"> </w:t>
      </w:r>
      <w:r w:rsidRPr="003E10EA">
        <w:rPr>
          <w:rFonts w:ascii="Arial" w:hAnsi="Arial" w:cs="Arial"/>
          <w:i/>
          <w:iCs/>
          <w:sz w:val="18"/>
          <w:szCs w:val="18"/>
        </w:rPr>
        <w:t>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2336"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5" name="obrázek 5"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8240"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1" name="obrázek 1"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1" w:name="nazev_dokumentu"/>
    <w:bookmarkEnd w:id="1"/>
  </w:p>
  <w:p w14:paraId="17AED064" w14:textId="77777777" w:rsidR="005C7511" w:rsidRDefault="005C7511" w:rsidP="00382043">
    <w:pPr>
      <w:pStyle w:val="Zhlav"/>
      <w:spacing w:after="120"/>
      <w:jc w:val="right"/>
      <w:rPr>
        <w:rFonts w:cs="Arial"/>
        <w:b/>
      </w:rPr>
    </w:pPr>
    <w:bookmarkStart w:id="2" w:name="nazev_dokumentu_dodatek"/>
    <w:bookmarkEnd w:id="2"/>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9264"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3" w:name="radek1"/>
    <w:bookmarkStart w:id="4" w:name="radek9"/>
    <w:bookmarkEnd w:id="3"/>
    <w:bookmarkEnd w:id="4"/>
    <w:r>
      <w:rPr>
        <w:rFonts w:cs="Arial"/>
        <w:b/>
        <w:sz w:val="16"/>
      </w:rPr>
      <w:br/>
    </w:r>
    <w:bookmarkStart w:id="5" w:name="radek10"/>
    <w:bookmarkEnd w:id="5"/>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D2926"/>
    <w:multiLevelType w:val="hybridMultilevel"/>
    <w:tmpl w:val="2CC607D0"/>
    <w:lvl w:ilvl="0" w:tplc="B28E8E08">
      <w:start w:val="1"/>
      <w:numFmt w:val="decimal"/>
      <w:lvlText w:val="%1)"/>
      <w:lvlJc w:val="left"/>
      <w:pPr>
        <w:ind w:left="720" w:hanging="360"/>
      </w:pPr>
      <w:rPr>
        <w:rFonts w:hint="default"/>
        <w:color w:val="000000" w:themeColor="text1"/>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5C0E5F91"/>
    <w:multiLevelType w:val="hybridMultilevel"/>
    <w:tmpl w:val="E2927926"/>
    <w:lvl w:ilvl="0" w:tplc="04050017">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 w15:restartNumberingAfterBreak="0">
    <w:nsid w:val="72934A70"/>
    <w:multiLevelType w:val="hybridMultilevel"/>
    <w:tmpl w:val="AA5037EE"/>
    <w:lvl w:ilvl="0" w:tplc="EDB4D550">
      <w:start w:val="1"/>
      <w:numFmt w:val="lowerLetter"/>
      <w:lvlText w:val="%1)"/>
      <w:lvlJc w:val="left"/>
      <w:pPr>
        <w:ind w:left="643"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3"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67B1C03"/>
    <w:multiLevelType w:val="hybridMultilevel"/>
    <w:tmpl w:val="AF6E94A0"/>
    <w:lvl w:ilvl="0" w:tplc="04050001">
      <w:start w:val="1"/>
      <w:numFmt w:val="bullet"/>
      <w:lvlText w:val=""/>
      <w:lvlJc w:val="left"/>
      <w:pPr>
        <w:ind w:left="786" w:hanging="360"/>
      </w:pPr>
      <w:rPr>
        <w:rFonts w:ascii="Symbol" w:hAnsi="Symbo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5"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6" w15:restartNumberingAfterBreak="0">
    <w:nsid w:val="7FAD54CF"/>
    <w:multiLevelType w:val="hybridMultilevel"/>
    <w:tmpl w:val="9ED01492"/>
    <w:lvl w:ilvl="0" w:tplc="93A46CB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16cid:durableId="324363156">
    <w:abstractNumId w:val="5"/>
    <w:lvlOverride w:ilvl="0">
      <w:startOverride w:val="1"/>
    </w:lvlOverride>
    <w:lvlOverride w:ilvl="1"/>
    <w:lvlOverride w:ilvl="2"/>
    <w:lvlOverride w:ilvl="3"/>
    <w:lvlOverride w:ilvl="4"/>
    <w:lvlOverride w:ilvl="5"/>
    <w:lvlOverride w:ilvl="6"/>
    <w:lvlOverride w:ilvl="7"/>
    <w:lvlOverride w:ilvl="8"/>
  </w:num>
  <w:num w:numId="2" w16cid:durableId="121003927">
    <w:abstractNumId w:val="3"/>
  </w:num>
  <w:num w:numId="3" w16cid:durableId="1349216002">
    <w:abstractNumId w:val="2"/>
  </w:num>
  <w:num w:numId="4" w16cid:durableId="1523131293">
    <w:abstractNumId w:val="4"/>
  </w:num>
  <w:num w:numId="5" w16cid:durableId="1623461834">
    <w:abstractNumId w:val="0"/>
  </w:num>
  <w:num w:numId="6" w16cid:durableId="1846894887">
    <w:abstractNumId w:val="1"/>
  </w:num>
  <w:num w:numId="7" w16cid:durableId="2117748829">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9456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141D"/>
    <w:rsid w:val="000032D9"/>
    <w:rsid w:val="000075C2"/>
    <w:rsid w:val="000168AD"/>
    <w:rsid w:val="00025864"/>
    <w:rsid w:val="000263FB"/>
    <w:rsid w:val="000301C2"/>
    <w:rsid w:val="00031DAF"/>
    <w:rsid w:val="00032DC8"/>
    <w:rsid w:val="00036D15"/>
    <w:rsid w:val="00040B6C"/>
    <w:rsid w:val="00040BCF"/>
    <w:rsid w:val="0004573A"/>
    <w:rsid w:val="00054199"/>
    <w:rsid w:val="000624A5"/>
    <w:rsid w:val="000655B2"/>
    <w:rsid w:val="00065A31"/>
    <w:rsid w:val="0006716A"/>
    <w:rsid w:val="00075929"/>
    <w:rsid w:val="00075AE5"/>
    <w:rsid w:val="00086B7F"/>
    <w:rsid w:val="000914E1"/>
    <w:rsid w:val="00097673"/>
    <w:rsid w:val="000A4827"/>
    <w:rsid w:val="000A5817"/>
    <w:rsid w:val="000A5CAA"/>
    <w:rsid w:val="000A6741"/>
    <w:rsid w:val="000B0FE9"/>
    <w:rsid w:val="000B2EB5"/>
    <w:rsid w:val="000B74A1"/>
    <w:rsid w:val="000C4651"/>
    <w:rsid w:val="000C586E"/>
    <w:rsid w:val="000D09E5"/>
    <w:rsid w:val="000D70ED"/>
    <w:rsid w:val="000D7F94"/>
    <w:rsid w:val="000E1040"/>
    <w:rsid w:val="000E31FE"/>
    <w:rsid w:val="000E49DB"/>
    <w:rsid w:val="000E7AA4"/>
    <w:rsid w:val="000F048D"/>
    <w:rsid w:val="000F5991"/>
    <w:rsid w:val="000F7A4F"/>
    <w:rsid w:val="000F7AE3"/>
    <w:rsid w:val="00102826"/>
    <w:rsid w:val="00105C59"/>
    <w:rsid w:val="001076B9"/>
    <w:rsid w:val="001240A5"/>
    <w:rsid w:val="00126B07"/>
    <w:rsid w:val="0012715D"/>
    <w:rsid w:val="00132A0E"/>
    <w:rsid w:val="00135576"/>
    <w:rsid w:val="00142C15"/>
    <w:rsid w:val="00144E27"/>
    <w:rsid w:val="00154129"/>
    <w:rsid w:val="00160109"/>
    <w:rsid w:val="00162090"/>
    <w:rsid w:val="00163CC1"/>
    <w:rsid w:val="00163DCB"/>
    <w:rsid w:val="00164F99"/>
    <w:rsid w:val="001662C6"/>
    <w:rsid w:val="001717C7"/>
    <w:rsid w:val="001768C0"/>
    <w:rsid w:val="0019517B"/>
    <w:rsid w:val="001963F0"/>
    <w:rsid w:val="001A39A0"/>
    <w:rsid w:val="001A4968"/>
    <w:rsid w:val="001B18C0"/>
    <w:rsid w:val="001B4237"/>
    <w:rsid w:val="001B6052"/>
    <w:rsid w:val="001B64A5"/>
    <w:rsid w:val="001B672B"/>
    <w:rsid w:val="001C1B3D"/>
    <w:rsid w:val="001C7721"/>
    <w:rsid w:val="001D6EF4"/>
    <w:rsid w:val="001E2E11"/>
    <w:rsid w:val="001F72FF"/>
    <w:rsid w:val="001F758E"/>
    <w:rsid w:val="00204556"/>
    <w:rsid w:val="002146BD"/>
    <w:rsid w:val="002147F1"/>
    <w:rsid w:val="00221160"/>
    <w:rsid w:val="00224A69"/>
    <w:rsid w:val="002417C4"/>
    <w:rsid w:val="00241E23"/>
    <w:rsid w:val="00243113"/>
    <w:rsid w:val="002432A9"/>
    <w:rsid w:val="00244C83"/>
    <w:rsid w:val="00245D9C"/>
    <w:rsid w:val="002555B7"/>
    <w:rsid w:val="0026380E"/>
    <w:rsid w:val="00263FC0"/>
    <w:rsid w:val="002664D9"/>
    <w:rsid w:val="0027414D"/>
    <w:rsid w:val="00287D7B"/>
    <w:rsid w:val="002A0F62"/>
    <w:rsid w:val="002A4D22"/>
    <w:rsid w:val="002A519F"/>
    <w:rsid w:val="002B2635"/>
    <w:rsid w:val="002B3265"/>
    <w:rsid w:val="002B43EC"/>
    <w:rsid w:val="002B7106"/>
    <w:rsid w:val="002C4878"/>
    <w:rsid w:val="002C5192"/>
    <w:rsid w:val="002D046E"/>
    <w:rsid w:val="002D3FAB"/>
    <w:rsid w:val="002E3FFE"/>
    <w:rsid w:val="002E6206"/>
    <w:rsid w:val="002E6BBC"/>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1787"/>
    <w:rsid w:val="00356A88"/>
    <w:rsid w:val="00365E61"/>
    <w:rsid w:val="0037356D"/>
    <w:rsid w:val="003754EE"/>
    <w:rsid w:val="00382043"/>
    <w:rsid w:val="00386602"/>
    <w:rsid w:val="00386F19"/>
    <w:rsid w:val="00387BA3"/>
    <w:rsid w:val="00391A27"/>
    <w:rsid w:val="00391B37"/>
    <w:rsid w:val="00393D23"/>
    <w:rsid w:val="00395DAC"/>
    <w:rsid w:val="00396E5C"/>
    <w:rsid w:val="003974E2"/>
    <w:rsid w:val="003A3B60"/>
    <w:rsid w:val="003A3C6F"/>
    <w:rsid w:val="003A66D2"/>
    <w:rsid w:val="003A67E1"/>
    <w:rsid w:val="003B1A25"/>
    <w:rsid w:val="003B25FD"/>
    <w:rsid w:val="003B4BD9"/>
    <w:rsid w:val="003B6A49"/>
    <w:rsid w:val="003C10F6"/>
    <w:rsid w:val="003D1DCA"/>
    <w:rsid w:val="003D22BE"/>
    <w:rsid w:val="003D3C0E"/>
    <w:rsid w:val="003D3F30"/>
    <w:rsid w:val="003D5CF7"/>
    <w:rsid w:val="003D6FAE"/>
    <w:rsid w:val="003F4950"/>
    <w:rsid w:val="00400E09"/>
    <w:rsid w:val="004104C9"/>
    <w:rsid w:val="00422832"/>
    <w:rsid w:val="00425C9E"/>
    <w:rsid w:val="00425F34"/>
    <w:rsid w:val="00433738"/>
    <w:rsid w:val="00433DD7"/>
    <w:rsid w:val="00434B63"/>
    <w:rsid w:val="00446EE1"/>
    <w:rsid w:val="00455285"/>
    <w:rsid w:val="00463335"/>
    <w:rsid w:val="00471556"/>
    <w:rsid w:val="0047722E"/>
    <w:rsid w:val="00482FED"/>
    <w:rsid w:val="00487791"/>
    <w:rsid w:val="00487DC3"/>
    <w:rsid w:val="004976D8"/>
    <w:rsid w:val="004A139E"/>
    <w:rsid w:val="004A3A34"/>
    <w:rsid w:val="004A64CE"/>
    <w:rsid w:val="004A68A1"/>
    <w:rsid w:val="004A7477"/>
    <w:rsid w:val="004B0ABE"/>
    <w:rsid w:val="004C7296"/>
    <w:rsid w:val="004D66C9"/>
    <w:rsid w:val="004E1E56"/>
    <w:rsid w:val="004E253D"/>
    <w:rsid w:val="004E55AD"/>
    <w:rsid w:val="004F2558"/>
    <w:rsid w:val="005035A3"/>
    <w:rsid w:val="00512716"/>
    <w:rsid w:val="0051654D"/>
    <w:rsid w:val="00516EEE"/>
    <w:rsid w:val="00517404"/>
    <w:rsid w:val="0052625B"/>
    <w:rsid w:val="005274E2"/>
    <w:rsid w:val="00541F41"/>
    <w:rsid w:val="005532F4"/>
    <w:rsid w:val="005542B7"/>
    <w:rsid w:val="00554A91"/>
    <w:rsid w:val="00554EFE"/>
    <w:rsid w:val="00562BE9"/>
    <w:rsid w:val="00570199"/>
    <w:rsid w:val="00571472"/>
    <w:rsid w:val="0058218B"/>
    <w:rsid w:val="00592873"/>
    <w:rsid w:val="005A0360"/>
    <w:rsid w:val="005A0DE3"/>
    <w:rsid w:val="005A620F"/>
    <w:rsid w:val="005B3C58"/>
    <w:rsid w:val="005C009E"/>
    <w:rsid w:val="005C4DFD"/>
    <w:rsid w:val="005C5D73"/>
    <w:rsid w:val="005C7511"/>
    <w:rsid w:val="005C7BA7"/>
    <w:rsid w:val="005D7B9D"/>
    <w:rsid w:val="005E699B"/>
    <w:rsid w:val="005F0376"/>
    <w:rsid w:val="005F650B"/>
    <w:rsid w:val="005F72CA"/>
    <w:rsid w:val="00607E43"/>
    <w:rsid w:val="00607E9B"/>
    <w:rsid w:val="00610AA2"/>
    <w:rsid w:val="00612819"/>
    <w:rsid w:val="00612EEB"/>
    <w:rsid w:val="00612F02"/>
    <w:rsid w:val="006168AF"/>
    <w:rsid w:val="006176CF"/>
    <w:rsid w:val="0062172B"/>
    <w:rsid w:val="00625343"/>
    <w:rsid w:val="00627A0D"/>
    <w:rsid w:val="00632E25"/>
    <w:rsid w:val="006438C5"/>
    <w:rsid w:val="00654434"/>
    <w:rsid w:val="006607EF"/>
    <w:rsid w:val="00660F1A"/>
    <w:rsid w:val="0066599E"/>
    <w:rsid w:val="0067182B"/>
    <w:rsid w:val="006817A3"/>
    <w:rsid w:val="00682E81"/>
    <w:rsid w:val="00696C75"/>
    <w:rsid w:val="006A136F"/>
    <w:rsid w:val="006A3645"/>
    <w:rsid w:val="006C2B57"/>
    <w:rsid w:val="006C52F6"/>
    <w:rsid w:val="006D7F88"/>
    <w:rsid w:val="006E0A27"/>
    <w:rsid w:val="006E167A"/>
    <w:rsid w:val="006E388A"/>
    <w:rsid w:val="006E52A8"/>
    <w:rsid w:val="006F0447"/>
    <w:rsid w:val="006F155C"/>
    <w:rsid w:val="007004F0"/>
    <w:rsid w:val="00700FEB"/>
    <w:rsid w:val="007033B4"/>
    <w:rsid w:val="00707C43"/>
    <w:rsid w:val="007101FC"/>
    <w:rsid w:val="00716E5D"/>
    <w:rsid w:val="00720E34"/>
    <w:rsid w:val="007339FD"/>
    <w:rsid w:val="00736FE6"/>
    <w:rsid w:val="007416E2"/>
    <w:rsid w:val="00756BA3"/>
    <w:rsid w:val="007579E0"/>
    <w:rsid w:val="00762B6A"/>
    <w:rsid w:val="00763DCB"/>
    <w:rsid w:val="00772B25"/>
    <w:rsid w:val="007768A0"/>
    <w:rsid w:val="00787B1C"/>
    <w:rsid w:val="00790107"/>
    <w:rsid w:val="00791ADB"/>
    <w:rsid w:val="007A2769"/>
    <w:rsid w:val="007A2CCF"/>
    <w:rsid w:val="007A7F6D"/>
    <w:rsid w:val="007B2067"/>
    <w:rsid w:val="007B4951"/>
    <w:rsid w:val="007C2DFA"/>
    <w:rsid w:val="007C3981"/>
    <w:rsid w:val="007D1805"/>
    <w:rsid w:val="007D1EC5"/>
    <w:rsid w:val="007E4AD5"/>
    <w:rsid w:val="007F1145"/>
    <w:rsid w:val="007F6A9C"/>
    <w:rsid w:val="00803801"/>
    <w:rsid w:val="0080596F"/>
    <w:rsid w:val="00805DB8"/>
    <w:rsid w:val="00810AC4"/>
    <w:rsid w:val="00823CBF"/>
    <w:rsid w:val="00826065"/>
    <w:rsid w:val="008266D4"/>
    <w:rsid w:val="00826813"/>
    <w:rsid w:val="008437D7"/>
    <w:rsid w:val="00847E0F"/>
    <w:rsid w:val="00860D75"/>
    <w:rsid w:val="00861E17"/>
    <w:rsid w:val="008667E7"/>
    <w:rsid w:val="008767F7"/>
    <w:rsid w:val="00880097"/>
    <w:rsid w:val="00883966"/>
    <w:rsid w:val="00885272"/>
    <w:rsid w:val="00896DFC"/>
    <w:rsid w:val="008A12E2"/>
    <w:rsid w:val="008A397E"/>
    <w:rsid w:val="008A47A8"/>
    <w:rsid w:val="008A6039"/>
    <w:rsid w:val="008A6EAC"/>
    <w:rsid w:val="008B4BFE"/>
    <w:rsid w:val="008B6CC1"/>
    <w:rsid w:val="008C76C9"/>
    <w:rsid w:val="008D1646"/>
    <w:rsid w:val="008D3145"/>
    <w:rsid w:val="008D3CED"/>
    <w:rsid w:val="008F0F72"/>
    <w:rsid w:val="008F3AB0"/>
    <w:rsid w:val="008F6678"/>
    <w:rsid w:val="008F6E57"/>
    <w:rsid w:val="00903C8A"/>
    <w:rsid w:val="00912D20"/>
    <w:rsid w:val="00912EE0"/>
    <w:rsid w:val="009215D3"/>
    <w:rsid w:val="009220FA"/>
    <w:rsid w:val="0092220C"/>
    <w:rsid w:val="00925C67"/>
    <w:rsid w:val="009261A6"/>
    <w:rsid w:val="00927E9B"/>
    <w:rsid w:val="00930D5C"/>
    <w:rsid w:val="00931136"/>
    <w:rsid w:val="00931959"/>
    <w:rsid w:val="009350B7"/>
    <w:rsid w:val="009355C2"/>
    <w:rsid w:val="00940922"/>
    <w:rsid w:val="009434AB"/>
    <w:rsid w:val="009442F2"/>
    <w:rsid w:val="00952232"/>
    <w:rsid w:val="00954AB2"/>
    <w:rsid w:val="00957F5C"/>
    <w:rsid w:val="00976E9F"/>
    <w:rsid w:val="009809A9"/>
    <w:rsid w:val="009927C9"/>
    <w:rsid w:val="009978F2"/>
    <w:rsid w:val="009A0266"/>
    <w:rsid w:val="009A104D"/>
    <w:rsid w:val="009A12EB"/>
    <w:rsid w:val="009A7324"/>
    <w:rsid w:val="009A7F94"/>
    <w:rsid w:val="009B1F6B"/>
    <w:rsid w:val="009B22DE"/>
    <w:rsid w:val="009B3397"/>
    <w:rsid w:val="009B67E8"/>
    <w:rsid w:val="009C345D"/>
    <w:rsid w:val="009C51EB"/>
    <w:rsid w:val="009C784A"/>
    <w:rsid w:val="009D03D1"/>
    <w:rsid w:val="009E171C"/>
    <w:rsid w:val="009E2E13"/>
    <w:rsid w:val="009E7D76"/>
    <w:rsid w:val="009F179F"/>
    <w:rsid w:val="009F1954"/>
    <w:rsid w:val="00A00517"/>
    <w:rsid w:val="00A04AF7"/>
    <w:rsid w:val="00A15D2C"/>
    <w:rsid w:val="00A25477"/>
    <w:rsid w:val="00A25585"/>
    <w:rsid w:val="00A41528"/>
    <w:rsid w:val="00A43FCC"/>
    <w:rsid w:val="00A466BD"/>
    <w:rsid w:val="00A674A4"/>
    <w:rsid w:val="00A71C5F"/>
    <w:rsid w:val="00A74CD0"/>
    <w:rsid w:val="00A90FB8"/>
    <w:rsid w:val="00AB1CB3"/>
    <w:rsid w:val="00AB23D3"/>
    <w:rsid w:val="00AB683A"/>
    <w:rsid w:val="00AC2DC4"/>
    <w:rsid w:val="00AC7E2C"/>
    <w:rsid w:val="00AD01FE"/>
    <w:rsid w:val="00AD4382"/>
    <w:rsid w:val="00AE5840"/>
    <w:rsid w:val="00AF4FD4"/>
    <w:rsid w:val="00B05053"/>
    <w:rsid w:val="00B050EC"/>
    <w:rsid w:val="00B06096"/>
    <w:rsid w:val="00B16E46"/>
    <w:rsid w:val="00B174F7"/>
    <w:rsid w:val="00B337C1"/>
    <w:rsid w:val="00B501BB"/>
    <w:rsid w:val="00B54956"/>
    <w:rsid w:val="00B54BFA"/>
    <w:rsid w:val="00B60E35"/>
    <w:rsid w:val="00B61C16"/>
    <w:rsid w:val="00B62757"/>
    <w:rsid w:val="00B632BE"/>
    <w:rsid w:val="00B649B4"/>
    <w:rsid w:val="00B67110"/>
    <w:rsid w:val="00B672D9"/>
    <w:rsid w:val="00B7074A"/>
    <w:rsid w:val="00B7151E"/>
    <w:rsid w:val="00B75E01"/>
    <w:rsid w:val="00B81865"/>
    <w:rsid w:val="00B865FF"/>
    <w:rsid w:val="00B936D3"/>
    <w:rsid w:val="00BA2539"/>
    <w:rsid w:val="00BA26E8"/>
    <w:rsid w:val="00BA60C4"/>
    <w:rsid w:val="00BC66C3"/>
    <w:rsid w:val="00BE182B"/>
    <w:rsid w:val="00BE4649"/>
    <w:rsid w:val="00BF1EA5"/>
    <w:rsid w:val="00BF3951"/>
    <w:rsid w:val="00BF42C4"/>
    <w:rsid w:val="00BF4555"/>
    <w:rsid w:val="00C02F17"/>
    <w:rsid w:val="00C03BF7"/>
    <w:rsid w:val="00C06408"/>
    <w:rsid w:val="00C127BB"/>
    <w:rsid w:val="00C12CD1"/>
    <w:rsid w:val="00C15F5E"/>
    <w:rsid w:val="00C16F73"/>
    <w:rsid w:val="00C17480"/>
    <w:rsid w:val="00C24644"/>
    <w:rsid w:val="00C269AD"/>
    <w:rsid w:val="00C3513D"/>
    <w:rsid w:val="00C435C2"/>
    <w:rsid w:val="00C53FC6"/>
    <w:rsid w:val="00C63181"/>
    <w:rsid w:val="00C651D1"/>
    <w:rsid w:val="00C678DB"/>
    <w:rsid w:val="00C83387"/>
    <w:rsid w:val="00CA5438"/>
    <w:rsid w:val="00CA6121"/>
    <w:rsid w:val="00CB5F4B"/>
    <w:rsid w:val="00CB6314"/>
    <w:rsid w:val="00CB6BF2"/>
    <w:rsid w:val="00CB7CF2"/>
    <w:rsid w:val="00CC550F"/>
    <w:rsid w:val="00CD210A"/>
    <w:rsid w:val="00CD315D"/>
    <w:rsid w:val="00CD392C"/>
    <w:rsid w:val="00CD5E67"/>
    <w:rsid w:val="00CE0BA9"/>
    <w:rsid w:val="00CE1A90"/>
    <w:rsid w:val="00CE482E"/>
    <w:rsid w:val="00CE722D"/>
    <w:rsid w:val="00CF2262"/>
    <w:rsid w:val="00CF37F6"/>
    <w:rsid w:val="00CF6B9A"/>
    <w:rsid w:val="00CF74E9"/>
    <w:rsid w:val="00D02042"/>
    <w:rsid w:val="00D043AB"/>
    <w:rsid w:val="00D04614"/>
    <w:rsid w:val="00D04DB4"/>
    <w:rsid w:val="00D11A2D"/>
    <w:rsid w:val="00D1403A"/>
    <w:rsid w:val="00D1475E"/>
    <w:rsid w:val="00D2070C"/>
    <w:rsid w:val="00D21702"/>
    <w:rsid w:val="00D32841"/>
    <w:rsid w:val="00D36846"/>
    <w:rsid w:val="00D374DE"/>
    <w:rsid w:val="00D408FF"/>
    <w:rsid w:val="00D43753"/>
    <w:rsid w:val="00D4552B"/>
    <w:rsid w:val="00D46661"/>
    <w:rsid w:val="00D55044"/>
    <w:rsid w:val="00D702F3"/>
    <w:rsid w:val="00D74BB0"/>
    <w:rsid w:val="00D823D1"/>
    <w:rsid w:val="00D848F9"/>
    <w:rsid w:val="00D85932"/>
    <w:rsid w:val="00D9135A"/>
    <w:rsid w:val="00D96A1F"/>
    <w:rsid w:val="00DA0F23"/>
    <w:rsid w:val="00DA2B92"/>
    <w:rsid w:val="00DB1A27"/>
    <w:rsid w:val="00DB5717"/>
    <w:rsid w:val="00DB704E"/>
    <w:rsid w:val="00DB7908"/>
    <w:rsid w:val="00DC0BDB"/>
    <w:rsid w:val="00DC1817"/>
    <w:rsid w:val="00DC5145"/>
    <w:rsid w:val="00DC5F98"/>
    <w:rsid w:val="00DC6D2C"/>
    <w:rsid w:val="00DC6EBE"/>
    <w:rsid w:val="00DD0808"/>
    <w:rsid w:val="00DD1590"/>
    <w:rsid w:val="00DD540E"/>
    <w:rsid w:val="00DD6E7A"/>
    <w:rsid w:val="00DE2934"/>
    <w:rsid w:val="00DE45D7"/>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18D5"/>
    <w:rsid w:val="00E51ABA"/>
    <w:rsid w:val="00E53F9B"/>
    <w:rsid w:val="00E56BAE"/>
    <w:rsid w:val="00E63460"/>
    <w:rsid w:val="00E721D9"/>
    <w:rsid w:val="00E74DE1"/>
    <w:rsid w:val="00E75BB8"/>
    <w:rsid w:val="00E83A7F"/>
    <w:rsid w:val="00E842BB"/>
    <w:rsid w:val="00E90D97"/>
    <w:rsid w:val="00E94465"/>
    <w:rsid w:val="00E9448F"/>
    <w:rsid w:val="00E97147"/>
    <w:rsid w:val="00E97AD6"/>
    <w:rsid w:val="00EA28C9"/>
    <w:rsid w:val="00EA53D7"/>
    <w:rsid w:val="00EB3536"/>
    <w:rsid w:val="00EC73A2"/>
    <w:rsid w:val="00EC7B36"/>
    <w:rsid w:val="00ED452C"/>
    <w:rsid w:val="00ED7DC9"/>
    <w:rsid w:val="00EE5662"/>
    <w:rsid w:val="00EF7BB8"/>
    <w:rsid w:val="00F0026A"/>
    <w:rsid w:val="00F00409"/>
    <w:rsid w:val="00F059AA"/>
    <w:rsid w:val="00F16D96"/>
    <w:rsid w:val="00F4221B"/>
    <w:rsid w:val="00F45C21"/>
    <w:rsid w:val="00F4632B"/>
    <w:rsid w:val="00F510C8"/>
    <w:rsid w:val="00F54177"/>
    <w:rsid w:val="00F635BD"/>
    <w:rsid w:val="00F72C04"/>
    <w:rsid w:val="00F778C3"/>
    <w:rsid w:val="00F82C72"/>
    <w:rsid w:val="00F9209F"/>
    <w:rsid w:val="00FA3417"/>
    <w:rsid w:val="00FB0275"/>
    <w:rsid w:val="00FB0845"/>
    <w:rsid w:val="00FB12C2"/>
    <w:rsid w:val="00FB693D"/>
    <w:rsid w:val="00FB6C3E"/>
    <w:rsid w:val="00FC30DC"/>
    <w:rsid w:val="00FC5372"/>
    <w:rsid w:val="00FC6ADD"/>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94561"/>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Siln">
    <w:name w:val="Strong"/>
    <w:basedOn w:val="Standardnpsmoodstavce"/>
    <w:uiPriority w:val="22"/>
    <w:qFormat/>
    <w:rsid w:val="00A90FB8"/>
    <w:rPr>
      <w:b/>
      <w:bCs/>
    </w:rPr>
  </w:style>
  <w:style w:type="character" w:styleId="Nevyeenzmnka">
    <w:name w:val="Unresolved Mention"/>
    <w:basedOn w:val="Standardnpsmoodstavce"/>
    <w:uiPriority w:val="99"/>
    <w:semiHidden/>
    <w:unhideWhenUsed/>
    <w:rsid w:val="00632E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382902">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67068961">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605183509">
      <w:bodyDiv w:val="1"/>
      <w:marLeft w:val="0"/>
      <w:marRight w:val="0"/>
      <w:marTop w:val="0"/>
      <w:marBottom w:val="0"/>
      <w:divBdr>
        <w:top w:val="none" w:sz="0" w:space="0" w:color="auto"/>
        <w:left w:val="none" w:sz="0" w:space="0" w:color="auto"/>
        <w:bottom w:val="none" w:sz="0" w:space="0" w:color="auto"/>
        <w:right w:val="none" w:sz="0" w:space="0" w:color="auto"/>
      </w:divBdr>
    </w:div>
    <w:div w:id="1651980284">
      <w:bodyDiv w:val="1"/>
      <w:marLeft w:val="0"/>
      <w:marRight w:val="0"/>
      <w:marTop w:val="0"/>
      <w:marBottom w:val="0"/>
      <w:divBdr>
        <w:top w:val="none" w:sz="0" w:space="0" w:color="auto"/>
        <w:left w:val="none" w:sz="0" w:space="0" w:color="auto"/>
        <w:bottom w:val="none" w:sz="0" w:space="0" w:color="auto"/>
        <w:right w:val="none" w:sz="0" w:space="0" w:color="auto"/>
      </w:divBdr>
    </w:div>
    <w:div w:id="1759642244">
      <w:bodyDiv w:val="1"/>
      <w:marLeft w:val="0"/>
      <w:marRight w:val="0"/>
      <w:marTop w:val="0"/>
      <w:marBottom w:val="0"/>
      <w:divBdr>
        <w:top w:val="none" w:sz="0" w:space="0" w:color="auto"/>
        <w:left w:val="none" w:sz="0" w:space="0" w:color="auto"/>
        <w:bottom w:val="none" w:sz="0" w:space="0" w:color="auto"/>
        <w:right w:val="none" w:sz="0" w:space="0" w:color="auto"/>
      </w:divBdr>
    </w:div>
    <w:div w:id="1761246825">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aha.mmr.cz/Seznam-zamestnancu?department=4"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mr.gov.cz/cs/kariera/benefity" TargetMode="External"/><Relationship Id="rId4" Type="http://schemas.openxmlformats.org/officeDocument/2006/relationships/settings" Target="settings.xml"/><Relationship Id="rId9" Type="http://schemas.openxmlformats.org/officeDocument/2006/relationships/hyperlink" Target="https://www.mvcr.cz/sluzba/soubor/ssp-c-3-2022-priloha-c-3b-podminky-vykonu-sluzby-text.aspx"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5</Pages>
  <Words>1440</Words>
  <Characters>8496</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Čapková Ilona</cp:lastModifiedBy>
  <cp:revision>229</cp:revision>
  <cp:lastPrinted>2025-01-30T10:58:00Z</cp:lastPrinted>
  <dcterms:created xsi:type="dcterms:W3CDTF">2017-07-31T11:28:00Z</dcterms:created>
  <dcterms:modified xsi:type="dcterms:W3CDTF">2025-06-26T08:58:00Z</dcterms:modified>
</cp:coreProperties>
</file>