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44705EF9" w:rsidR="00302C7F" w:rsidRPr="00870AF2" w:rsidRDefault="00302C7F" w:rsidP="00870AF2">
      <w:pPr>
        <w:pStyle w:val="Nadpis1"/>
      </w:pPr>
    </w:p>
    <w:p w14:paraId="25F85FE2" w14:textId="77777777" w:rsidR="0097661D" w:rsidRDefault="0097661D" w:rsidP="00302C7F">
      <w:pPr>
        <w:pStyle w:val="Zkladnodstavec"/>
        <w:jc w:val="center"/>
        <w:rPr>
          <w:rFonts w:asciiTheme="minorHAnsi" w:eastAsiaTheme="minorEastAsia" w:hAnsiTheme="minorHAnsi" w:cstheme="minorBidi"/>
          <w:b/>
          <w:bCs/>
          <w:caps/>
          <w:color w:val="17365D" w:themeColor="text2" w:themeShade="BF"/>
          <w:sz w:val="40"/>
          <w:szCs w:val="40"/>
        </w:rPr>
      </w:pPr>
    </w:p>
    <w:p w14:paraId="139475B3" w14:textId="77777777" w:rsidR="00302C7F" w:rsidRPr="00A05BA9" w:rsidRDefault="00302C7F" w:rsidP="00302C7F">
      <w:pPr>
        <w:pStyle w:val="Zkladnodstavec"/>
        <w:jc w:val="center"/>
        <w:rPr>
          <w:rFonts w:ascii="Arial" w:eastAsiaTheme="minorEastAsia" w:hAnsi="Arial" w:cs="Arial"/>
          <w:b/>
          <w:bCs/>
          <w:caps/>
          <w:color w:val="17365D" w:themeColor="text2" w:themeShade="BF"/>
          <w:sz w:val="40"/>
          <w:szCs w:val="40"/>
        </w:rPr>
      </w:pPr>
      <w:r w:rsidRPr="00A05BA9">
        <w:rPr>
          <w:rFonts w:ascii="Arial" w:eastAsiaTheme="minorEastAsia" w:hAnsi="Arial" w:cs="Arial"/>
          <w:b/>
          <w:caps/>
          <w:color w:val="002060"/>
          <w:sz w:val="40"/>
          <w:szCs w:val="40"/>
        </w:rPr>
        <w:t>Národní plán obnovy</w:t>
      </w:r>
    </w:p>
    <w:p w14:paraId="5DAB6C7B" w14:textId="77777777" w:rsidR="00302C7F" w:rsidRPr="00A05BA9" w:rsidRDefault="00302C7F" w:rsidP="00302C7F">
      <w:pPr>
        <w:rPr>
          <w:rFonts w:ascii="Arial" w:eastAsiaTheme="minorEastAsia" w:hAnsi="Arial" w:cs="Arial"/>
          <w:b/>
          <w:bCs/>
          <w:color w:val="17365D" w:themeColor="text2" w:themeShade="BF"/>
          <w:sz w:val="40"/>
          <w:szCs w:val="40"/>
        </w:rPr>
      </w:pPr>
    </w:p>
    <w:p w14:paraId="02EB378F" w14:textId="77777777" w:rsidR="00302C7F" w:rsidRPr="00A05BA9" w:rsidRDefault="00302C7F" w:rsidP="00302C7F">
      <w:pPr>
        <w:rPr>
          <w:rFonts w:ascii="Arial" w:eastAsiaTheme="minorEastAsia" w:hAnsi="Arial" w:cs="Arial"/>
          <w:b/>
          <w:bCs/>
          <w:color w:val="17365D" w:themeColor="text2" w:themeShade="BF"/>
          <w:sz w:val="40"/>
          <w:szCs w:val="40"/>
        </w:rPr>
      </w:pPr>
    </w:p>
    <w:p w14:paraId="7B986543" w14:textId="44832A62" w:rsidR="00AB66A6" w:rsidRDefault="00302C7F" w:rsidP="00302C7F">
      <w:pPr>
        <w:jc w:val="center"/>
        <w:rPr>
          <w:rFonts w:ascii="Arial" w:eastAsiaTheme="minorEastAsia" w:hAnsi="Arial" w:cs="Arial"/>
          <w:b/>
          <w:caps/>
          <w:color w:val="002060"/>
          <w:sz w:val="60"/>
          <w:szCs w:val="60"/>
        </w:rPr>
      </w:pPr>
      <w:r w:rsidRPr="00A05BA9">
        <w:rPr>
          <w:rFonts w:ascii="Arial" w:eastAsiaTheme="minorEastAsia" w:hAnsi="Arial" w:cs="Arial"/>
          <w:b/>
          <w:caps/>
          <w:color w:val="002060"/>
          <w:sz w:val="60"/>
          <w:szCs w:val="60"/>
        </w:rPr>
        <w:t>PRAVIDLA PRO ŽADATELE A PŘÍJEMCE</w:t>
      </w:r>
    </w:p>
    <w:p w14:paraId="76FDBDCD" w14:textId="77777777" w:rsidR="0097661D" w:rsidRPr="00A05BA9" w:rsidRDefault="0097661D" w:rsidP="00302C7F">
      <w:pPr>
        <w:jc w:val="center"/>
        <w:rPr>
          <w:rFonts w:ascii="Arial" w:eastAsiaTheme="minorEastAsia" w:hAnsi="Arial" w:cs="Arial"/>
          <w:b/>
          <w:bCs/>
          <w:caps/>
          <w:color w:val="17365D" w:themeColor="text2" w:themeShade="BF"/>
          <w:sz w:val="60"/>
          <w:szCs w:val="60"/>
        </w:rPr>
      </w:pPr>
    </w:p>
    <w:p w14:paraId="6A05A809" w14:textId="77777777" w:rsidR="00302C7F" w:rsidRPr="00A05BA9" w:rsidRDefault="00302C7F" w:rsidP="00302C7F">
      <w:pPr>
        <w:jc w:val="center"/>
        <w:rPr>
          <w:rFonts w:ascii="Arial" w:eastAsiaTheme="minorEastAsia" w:hAnsi="Arial" w:cs="Arial"/>
          <w:b/>
          <w:bCs/>
          <w:caps/>
          <w:color w:val="17365D" w:themeColor="text2" w:themeShade="BF"/>
          <w:sz w:val="60"/>
          <w:szCs w:val="60"/>
        </w:rPr>
      </w:pPr>
    </w:p>
    <w:p w14:paraId="78750739" w14:textId="747B56B8" w:rsidR="00302C7F" w:rsidRPr="00A05BA9" w:rsidRDefault="00302C7F" w:rsidP="389CE752">
      <w:pPr>
        <w:pStyle w:val="Zkladnodstavec"/>
        <w:spacing w:line="276" w:lineRule="auto"/>
        <w:rPr>
          <w:rFonts w:ascii="Arial" w:eastAsiaTheme="minorEastAsia" w:hAnsi="Arial" w:cs="Arial"/>
          <w:b/>
          <w:bCs/>
          <w:caps/>
          <w:color w:val="17365D" w:themeColor="text2" w:themeShade="BF"/>
          <w:sz w:val="40"/>
          <w:szCs w:val="40"/>
        </w:rPr>
      </w:pPr>
      <w:r w:rsidRPr="00A05BA9">
        <w:rPr>
          <w:rFonts w:ascii="Arial" w:eastAsiaTheme="minorEastAsia" w:hAnsi="Arial" w:cs="Arial"/>
          <w:b/>
          <w:caps/>
          <w:color w:val="002060"/>
          <w:sz w:val="40"/>
          <w:szCs w:val="40"/>
        </w:rPr>
        <w:t xml:space="preserve">PŘÍLOHA č. </w:t>
      </w:r>
      <w:r w:rsidR="008D5811">
        <w:rPr>
          <w:rFonts w:ascii="Arial" w:eastAsiaTheme="minorEastAsia" w:hAnsi="Arial" w:cs="Arial"/>
          <w:b/>
          <w:caps/>
          <w:color w:val="002060"/>
          <w:sz w:val="40"/>
          <w:szCs w:val="40"/>
        </w:rPr>
        <w:t>1</w:t>
      </w:r>
      <w:r w:rsidR="00B47692">
        <w:rPr>
          <w:rFonts w:ascii="Arial" w:eastAsiaTheme="minorEastAsia" w:hAnsi="Arial" w:cs="Arial"/>
          <w:b/>
          <w:caps/>
          <w:color w:val="002060"/>
          <w:sz w:val="40"/>
          <w:szCs w:val="40"/>
        </w:rPr>
        <w:t>5</w:t>
      </w:r>
    </w:p>
    <w:p w14:paraId="5A39BBE3" w14:textId="77777777" w:rsidR="00302C7F" w:rsidRPr="00A05BA9" w:rsidRDefault="00302C7F" w:rsidP="00302C7F">
      <w:pPr>
        <w:pStyle w:val="Zkladnodstavec"/>
        <w:spacing w:line="276" w:lineRule="auto"/>
        <w:rPr>
          <w:rFonts w:ascii="Arial" w:hAnsi="Arial" w:cs="Arial"/>
          <w:b/>
          <w:bCs/>
          <w:caps/>
          <w:color w:val="17365D" w:themeColor="text2" w:themeShade="BF"/>
          <w:sz w:val="46"/>
          <w:szCs w:val="46"/>
        </w:rPr>
      </w:pPr>
    </w:p>
    <w:p w14:paraId="14EBB4F7" w14:textId="1F2D44AF" w:rsidR="00302C7F" w:rsidRPr="00A05BA9" w:rsidRDefault="004A0DC1" w:rsidP="00302C7F">
      <w:pPr>
        <w:pStyle w:val="Zkladnodstavec"/>
        <w:spacing w:line="276" w:lineRule="auto"/>
        <w:rPr>
          <w:rFonts w:ascii="Arial" w:hAnsi="Arial" w:cs="Arial"/>
          <w:b/>
          <w:bCs/>
          <w:caps/>
          <w:color w:val="17365D" w:themeColor="text2" w:themeShade="BF"/>
          <w:sz w:val="46"/>
          <w:szCs w:val="46"/>
        </w:rPr>
      </w:pPr>
      <w:r>
        <w:rPr>
          <w:rFonts w:ascii="Arial" w:hAnsi="Arial" w:cs="Arial"/>
          <w:b/>
          <w:caps/>
          <w:color w:val="002060"/>
          <w:sz w:val="46"/>
          <w:szCs w:val="46"/>
        </w:rPr>
        <w:t>DOporučení</w:t>
      </w:r>
      <w:r w:rsidR="00970D3C">
        <w:rPr>
          <w:rFonts w:ascii="Arial" w:hAnsi="Arial" w:cs="Arial"/>
          <w:b/>
          <w:caps/>
          <w:color w:val="002060"/>
          <w:sz w:val="46"/>
          <w:szCs w:val="46"/>
        </w:rPr>
        <w:t xml:space="preserve"> pro </w:t>
      </w:r>
      <w:r w:rsidR="00AD0E0B">
        <w:rPr>
          <w:rFonts w:ascii="Arial" w:hAnsi="Arial" w:cs="Arial"/>
          <w:b/>
          <w:caps/>
          <w:color w:val="002060"/>
          <w:sz w:val="46"/>
          <w:szCs w:val="46"/>
        </w:rPr>
        <w:t>stanovení režimu veřejné podpory</w:t>
      </w:r>
    </w:p>
    <w:p w14:paraId="41C8F396" w14:textId="77777777" w:rsidR="00302C7F" w:rsidRPr="003D1343" w:rsidRDefault="00302C7F" w:rsidP="00302C7F">
      <w:pPr>
        <w:pStyle w:val="Default"/>
        <w:spacing w:line="276" w:lineRule="auto"/>
        <w:jc w:val="center"/>
        <w:rPr>
          <w:color w:val="17365D" w:themeColor="text2" w:themeShade="BF"/>
        </w:rPr>
      </w:pPr>
    </w:p>
    <w:p w14:paraId="72A3D3EC" w14:textId="77777777" w:rsidR="00302C7F" w:rsidRPr="003D1343" w:rsidRDefault="00302C7F" w:rsidP="00302C7F">
      <w:pPr>
        <w:pStyle w:val="Default"/>
        <w:spacing w:line="276" w:lineRule="auto"/>
        <w:jc w:val="center"/>
        <w:rPr>
          <w:color w:val="17365D" w:themeColor="text2" w:themeShade="BF"/>
        </w:rPr>
      </w:pPr>
    </w:p>
    <w:p w14:paraId="0D0B940D" w14:textId="77777777" w:rsidR="00302C7F" w:rsidRPr="003D1343" w:rsidRDefault="00302C7F" w:rsidP="00302C7F">
      <w:pPr>
        <w:pStyle w:val="Default"/>
        <w:spacing w:line="276" w:lineRule="auto"/>
        <w:jc w:val="center"/>
        <w:rPr>
          <w:color w:val="17365D" w:themeColor="text2" w:themeShade="BF"/>
        </w:rPr>
      </w:pPr>
    </w:p>
    <w:p w14:paraId="0E27B00A" w14:textId="77777777" w:rsidR="00302C7F" w:rsidRPr="003D1343" w:rsidRDefault="00302C7F" w:rsidP="00302C7F">
      <w:pPr>
        <w:pStyle w:val="Default"/>
        <w:spacing w:line="276" w:lineRule="auto"/>
        <w:jc w:val="center"/>
        <w:rPr>
          <w:rFonts w:ascii="Cambria" w:hAnsi="Cambria"/>
          <w:color w:val="17365D" w:themeColor="text2" w:themeShade="BF"/>
        </w:rPr>
      </w:pPr>
    </w:p>
    <w:p w14:paraId="60061E4C" w14:textId="77777777" w:rsidR="00302C7F" w:rsidRPr="003D1343" w:rsidRDefault="00302C7F" w:rsidP="00302C7F">
      <w:pPr>
        <w:pStyle w:val="Default"/>
        <w:spacing w:line="276" w:lineRule="auto"/>
        <w:jc w:val="center"/>
        <w:rPr>
          <w:rFonts w:ascii="Cambria" w:hAnsi="Cambria"/>
          <w:color w:val="17365D" w:themeColor="text2" w:themeShade="BF"/>
        </w:rPr>
      </w:pPr>
    </w:p>
    <w:p w14:paraId="44EAFD9C" w14:textId="77777777" w:rsidR="00302C7F" w:rsidRPr="003D1343" w:rsidRDefault="00302C7F" w:rsidP="00302C7F">
      <w:pPr>
        <w:pStyle w:val="Default"/>
        <w:jc w:val="center"/>
        <w:rPr>
          <w:rFonts w:ascii="Cambria" w:hAnsi="Cambria"/>
          <w:color w:val="17365D" w:themeColor="text2" w:themeShade="BF"/>
        </w:rPr>
      </w:pPr>
    </w:p>
    <w:p w14:paraId="4B94D5A5" w14:textId="77777777" w:rsidR="00302C7F" w:rsidRPr="003D1343" w:rsidRDefault="00302C7F" w:rsidP="00302C7F">
      <w:pPr>
        <w:spacing w:after="0"/>
        <w:rPr>
          <w:rFonts w:ascii="Cambria" w:hAnsi="Cambria"/>
          <w:caps/>
          <w:color w:val="17365D" w:themeColor="text2" w:themeShade="BF"/>
          <w:sz w:val="32"/>
          <w:szCs w:val="32"/>
        </w:rPr>
      </w:pPr>
    </w:p>
    <w:p w14:paraId="60B2064F" w14:textId="6A1B3449" w:rsidR="008D5811" w:rsidRDefault="008D5811" w:rsidP="008D5811">
      <w:pPr>
        <w:rPr>
          <w:rFonts w:ascii="Arial" w:eastAsia="Arial" w:hAnsi="Arial" w:cs="Arial"/>
          <w:b/>
          <w:color w:val="002060"/>
          <w:sz w:val="28"/>
          <w:szCs w:val="28"/>
        </w:rPr>
      </w:pPr>
      <w:r w:rsidRPr="6CF59C0F">
        <w:rPr>
          <w:rFonts w:ascii="Arial" w:eastAsia="Arial" w:hAnsi="Arial" w:cs="Arial"/>
          <w:b/>
          <w:bCs/>
          <w:color w:val="002060"/>
          <w:sz w:val="28"/>
          <w:szCs w:val="28"/>
        </w:rPr>
        <w:t xml:space="preserve">Platnost od </w:t>
      </w:r>
      <w:r>
        <w:rPr>
          <w:rFonts w:ascii="Arial" w:eastAsia="Arial" w:hAnsi="Arial" w:cs="Arial"/>
          <w:b/>
          <w:bCs/>
          <w:color w:val="002060"/>
          <w:sz w:val="28"/>
          <w:szCs w:val="28"/>
        </w:rPr>
        <w:t>12. 2. 2024</w:t>
      </w:r>
    </w:p>
    <w:p w14:paraId="3DEEC669" w14:textId="28A8E13D" w:rsidR="00921F16" w:rsidRDefault="00921F16">
      <w:pPr>
        <w:rPr>
          <w:rFonts w:ascii="Cambria" w:hAnsi="Cambria"/>
          <w:caps/>
          <w:color w:val="17365D" w:themeColor="text2" w:themeShade="BF"/>
          <w:sz w:val="32"/>
          <w:szCs w:val="32"/>
        </w:rPr>
      </w:pPr>
    </w:p>
    <w:p w14:paraId="4A8443E2" w14:textId="77777777" w:rsidR="00302C7F" w:rsidRDefault="00302C7F" w:rsidP="00302C7F">
      <w:pPr>
        <w:spacing w:after="0"/>
        <w:rPr>
          <w:rFonts w:ascii="Cambria" w:hAnsi="Cambria"/>
          <w:caps/>
          <w:color w:val="17365D" w:themeColor="text2" w:themeShade="BF"/>
          <w:sz w:val="32"/>
          <w:szCs w:val="32"/>
        </w:rPr>
      </w:pPr>
    </w:p>
    <w:p w14:paraId="2DE9169A" w14:textId="2440E6E8" w:rsidR="001F0322" w:rsidRDefault="005E7F63" w:rsidP="537FF910">
      <w:pPr>
        <w:rPr>
          <w:rFonts w:ascii="Arial" w:eastAsia="Arial" w:hAnsi="Arial" w:cs="Arial"/>
          <w:b/>
          <w:bCs/>
          <w:caps/>
          <w:sz w:val="28"/>
          <w:szCs w:val="28"/>
        </w:rPr>
      </w:pPr>
      <w:bookmarkStart w:id="0" w:name="_Toc925384639"/>
      <w:r w:rsidRPr="537FF910">
        <w:rPr>
          <w:rFonts w:ascii="Arial" w:eastAsia="Arial" w:hAnsi="Arial" w:cs="Arial"/>
          <w:b/>
          <w:bCs/>
          <w:sz w:val="28"/>
          <w:szCs w:val="28"/>
        </w:rPr>
        <w:t>Obsah</w:t>
      </w:r>
      <w:bookmarkEnd w:id="0"/>
    </w:p>
    <w:sdt>
      <w:sdtPr>
        <w:rPr>
          <w:rFonts w:eastAsiaTheme="minorHAnsi" w:cstheme="minorBidi"/>
          <w:b w:val="0"/>
          <w:bCs w:val="0"/>
          <w:color w:val="auto"/>
          <w:sz w:val="22"/>
          <w:szCs w:val="22"/>
          <w:lang w:eastAsia="en-US"/>
        </w:rPr>
        <w:id w:val="125331628"/>
        <w:docPartObj>
          <w:docPartGallery w:val="Table of Contents"/>
          <w:docPartUnique/>
        </w:docPartObj>
      </w:sdtPr>
      <w:sdtEndPr/>
      <w:sdtContent>
        <w:p w14:paraId="049F31CB" w14:textId="4ACB9DD4" w:rsidR="005F01E8" w:rsidRDefault="005F01E8" w:rsidP="00870AF2">
          <w:pPr>
            <w:pStyle w:val="Nadpisobsahu"/>
          </w:pPr>
        </w:p>
        <w:p w14:paraId="41311083" w14:textId="54366E81" w:rsidR="00870AF2" w:rsidRDefault="00184027">
          <w:pPr>
            <w:pStyle w:val="Obsah1"/>
            <w:rPr>
              <w:rFonts w:eastAsiaTheme="minorEastAsia"/>
              <w:noProof/>
              <w:lang w:eastAsia="cs-CZ"/>
            </w:rPr>
          </w:pPr>
          <w:r>
            <w:fldChar w:fldCharType="begin"/>
          </w:r>
          <w:r w:rsidR="001F2410">
            <w:instrText>TOC \o "1-3" \h \z \u</w:instrText>
          </w:r>
          <w:r>
            <w:fldChar w:fldCharType="separate"/>
          </w:r>
          <w:hyperlink w:anchor="_Toc158099292" w:history="1">
            <w:r w:rsidR="00870AF2" w:rsidRPr="00B12928">
              <w:rPr>
                <w:rStyle w:val="Hypertextovodkaz"/>
                <w:noProof/>
              </w:rPr>
              <w:t>Základní podmínky podpory výzev 4.1.3</w:t>
            </w:r>
            <w:r w:rsidR="00870AF2">
              <w:rPr>
                <w:noProof/>
                <w:webHidden/>
              </w:rPr>
              <w:tab/>
            </w:r>
            <w:r w:rsidR="00870AF2">
              <w:rPr>
                <w:noProof/>
                <w:webHidden/>
              </w:rPr>
              <w:fldChar w:fldCharType="begin"/>
            </w:r>
            <w:r w:rsidR="00870AF2">
              <w:rPr>
                <w:noProof/>
                <w:webHidden/>
              </w:rPr>
              <w:instrText xml:space="preserve"> PAGEREF _Toc158099292 \h </w:instrText>
            </w:r>
            <w:r w:rsidR="00870AF2">
              <w:rPr>
                <w:noProof/>
                <w:webHidden/>
              </w:rPr>
            </w:r>
            <w:r w:rsidR="00870AF2">
              <w:rPr>
                <w:noProof/>
                <w:webHidden/>
              </w:rPr>
              <w:fldChar w:fldCharType="separate"/>
            </w:r>
            <w:r w:rsidR="00EF5AB0">
              <w:rPr>
                <w:noProof/>
                <w:webHidden/>
              </w:rPr>
              <w:t>1</w:t>
            </w:r>
            <w:r w:rsidR="00870AF2">
              <w:rPr>
                <w:noProof/>
                <w:webHidden/>
              </w:rPr>
              <w:fldChar w:fldCharType="end"/>
            </w:r>
          </w:hyperlink>
        </w:p>
        <w:p w14:paraId="12534417" w14:textId="4D8D7457" w:rsidR="00870AF2" w:rsidRDefault="00B47692">
          <w:pPr>
            <w:pStyle w:val="Obsah1"/>
            <w:rPr>
              <w:rFonts w:eastAsiaTheme="minorEastAsia"/>
              <w:noProof/>
              <w:lang w:eastAsia="cs-CZ"/>
            </w:rPr>
          </w:pPr>
          <w:hyperlink w:anchor="_Toc158099293" w:history="1">
            <w:r w:rsidR="00870AF2" w:rsidRPr="00B12928">
              <w:rPr>
                <w:rStyle w:val="Hypertextovodkaz"/>
                <w:noProof/>
              </w:rPr>
              <w:t>Obecné informace k pojmu veřejné podpory</w:t>
            </w:r>
            <w:r w:rsidR="00870AF2">
              <w:rPr>
                <w:noProof/>
                <w:webHidden/>
              </w:rPr>
              <w:tab/>
            </w:r>
            <w:r w:rsidR="00870AF2">
              <w:rPr>
                <w:noProof/>
                <w:webHidden/>
              </w:rPr>
              <w:fldChar w:fldCharType="begin"/>
            </w:r>
            <w:r w:rsidR="00870AF2">
              <w:rPr>
                <w:noProof/>
                <w:webHidden/>
              </w:rPr>
              <w:instrText xml:space="preserve"> PAGEREF _Toc158099293 \h </w:instrText>
            </w:r>
            <w:r w:rsidR="00870AF2">
              <w:rPr>
                <w:noProof/>
                <w:webHidden/>
              </w:rPr>
            </w:r>
            <w:r w:rsidR="00870AF2">
              <w:rPr>
                <w:noProof/>
                <w:webHidden/>
              </w:rPr>
              <w:fldChar w:fldCharType="separate"/>
            </w:r>
            <w:r w:rsidR="00EF5AB0">
              <w:rPr>
                <w:noProof/>
                <w:webHidden/>
              </w:rPr>
              <w:t>2</w:t>
            </w:r>
            <w:r w:rsidR="00870AF2">
              <w:rPr>
                <w:noProof/>
                <w:webHidden/>
              </w:rPr>
              <w:fldChar w:fldCharType="end"/>
            </w:r>
          </w:hyperlink>
        </w:p>
        <w:p w14:paraId="1F67D94F" w14:textId="2A614CC9" w:rsidR="00870AF2" w:rsidRDefault="00B47692">
          <w:pPr>
            <w:pStyle w:val="Obsah1"/>
            <w:rPr>
              <w:rFonts w:eastAsiaTheme="minorEastAsia"/>
              <w:noProof/>
              <w:lang w:eastAsia="cs-CZ"/>
            </w:rPr>
          </w:pPr>
          <w:hyperlink w:anchor="_Toc158099294" w:history="1">
            <w:r w:rsidR="00870AF2" w:rsidRPr="00B12928">
              <w:rPr>
                <w:rStyle w:val="Hypertextovodkaz"/>
                <w:noProof/>
              </w:rPr>
              <w:t>Kritéria pro stanovení, zda financování projektu představuje veřejnou podporu či nikoli</w:t>
            </w:r>
            <w:r w:rsidR="00870AF2">
              <w:rPr>
                <w:noProof/>
                <w:webHidden/>
              </w:rPr>
              <w:tab/>
            </w:r>
            <w:r w:rsidR="00870AF2">
              <w:rPr>
                <w:noProof/>
                <w:webHidden/>
              </w:rPr>
              <w:fldChar w:fldCharType="begin"/>
            </w:r>
            <w:r w:rsidR="00870AF2">
              <w:rPr>
                <w:noProof/>
                <w:webHidden/>
              </w:rPr>
              <w:instrText xml:space="preserve"> PAGEREF _Toc158099294 \h </w:instrText>
            </w:r>
            <w:r w:rsidR="00870AF2">
              <w:rPr>
                <w:noProof/>
                <w:webHidden/>
              </w:rPr>
            </w:r>
            <w:r w:rsidR="00870AF2">
              <w:rPr>
                <w:noProof/>
                <w:webHidden/>
              </w:rPr>
              <w:fldChar w:fldCharType="separate"/>
            </w:r>
            <w:r w:rsidR="00EF5AB0">
              <w:rPr>
                <w:noProof/>
                <w:webHidden/>
              </w:rPr>
              <w:t>4</w:t>
            </w:r>
            <w:r w:rsidR="00870AF2">
              <w:rPr>
                <w:noProof/>
                <w:webHidden/>
              </w:rPr>
              <w:fldChar w:fldCharType="end"/>
            </w:r>
          </w:hyperlink>
        </w:p>
        <w:p w14:paraId="6E0872F4" w14:textId="27B64924" w:rsidR="00870AF2" w:rsidRDefault="00B47692">
          <w:pPr>
            <w:pStyle w:val="Obsah1"/>
            <w:rPr>
              <w:rFonts w:eastAsiaTheme="minorEastAsia"/>
              <w:noProof/>
              <w:lang w:eastAsia="cs-CZ"/>
            </w:rPr>
          </w:pPr>
          <w:hyperlink w:anchor="_Toc158099295" w:history="1">
            <w:r w:rsidR="00870AF2" w:rsidRPr="00B12928">
              <w:rPr>
                <w:rStyle w:val="Hypertextovodkaz"/>
                <w:noProof/>
              </w:rPr>
              <w:t>Poskytování veřejné podpory u projektů realizovaných v rámci výzev 4.1.3</w:t>
            </w:r>
            <w:r w:rsidR="00870AF2">
              <w:rPr>
                <w:noProof/>
                <w:webHidden/>
              </w:rPr>
              <w:tab/>
            </w:r>
            <w:r w:rsidR="00870AF2">
              <w:rPr>
                <w:noProof/>
                <w:webHidden/>
              </w:rPr>
              <w:fldChar w:fldCharType="begin"/>
            </w:r>
            <w:r w:rsidR="00870AF2">
              <w:rPr>
                <w:noProof/>
                <w:webHidden/>
              </w:rPr>
              <w:instrText xml:space="preserve"> PAGEREF _Toc158099295 \h </w:instrText>
            </w:r>
            <w:r w:rsidR="00870AF2">
              <w:rPr>
                <w:noProof/>
                <w:webHidden/>
              </w:rPr>
            </w:r>
            <w:r w:rsidR="00870AF2">
              <w:rPr>
                <w:noProof/>
                <w:webHidden/>
              </w:rPr>
              <w:fldChar w:fldCharType="separate"/>
            </w:r>
            <w:r w:rsidR="00EF5AB0">
              <w:rPr>
                <w:noProof/>
                <w:webHidden/>
              </w:rPr>
              <w:t>6</w:t>
            </w:r>
            <w:r w:rsidR="00870AF2">
              <w:rPr>
                <w:noProof/>
                <w:webHidden/>
              </w:rPr>
              <w:fldChar w:fldCharType="end"/>
            </w:r>
          </w:hyperlink>
        </w:p>
        <w:p w14:paraId="552EF0E0" w14:textId="5E4B2894" w:rsidR="00870AF2" w:rsidRDefault="00B47692">
          <w:pPr>
            <w:pStyle w:val="Obsah2"/>
            <w:rPr>
              <w:rFonts w:eastAsiaTheme="minorEastAsia"/>
              <w:noProof/>
              <w:lang w:eastAsia="cs-CZ"/>
            </w:rPr>
          </w:pPr>
          <w:hyperlink w:anchor="_Toc158099296" w:history="1">
            <w:r w:rsidR="00870AF2" w:rsidRPr="00B12928">
              <w:rPr>
                <w:rStyle w:val="Hypertextovodkaz"/>
                <w:noProof/>
              </w:rPr>
              <w:t>1.</w:t>
            </w:r>
            <w:r w:rsidR="00870AF2">
              <w:rPr>
                <w:rFonts w:eastAsiaTheme="minorEastAsia"/>
                <w:noProof/>
                <w:lang w:eastAsia="cs-CZ"/>
              </w:rPr>
              <w:tab/>
            </w:r>
            <w:r w:rsidR="00870AF2" w:rsidRPr="00B12928">
              <w:rPr>
                <w:rStyle w:val="Hypertextovodkaz"/>
                <w:noProof/>
              </w:rPr>
              <w:t>Podmínky a postup pro poskytnutí podpory de minimis</w:t>
            </w:r>
            <w:r w:rsidR="00870AF2">
              <w:rPr>
                <w:noProof/>
                <w:webHidden/>
              </w:rPr>
              <w:tab/>
            </w:r>
            <w:r w:rsidR="00870AF2">
              <w:rPr>
                <w:noProof/>
                <w:webHidden/>
              </w:rPr>
              <w:fldChar w:fldCharType="begin"/>
            </w:r>
            <w:r w:rsidR="00870AF2">
              <w:rPr>
                <w:noProof/>
                <w:webHidden/>
              </w:rPr>
              <w:instrText xml:space="preserve"> PAGEREF _Toc158099296 \h </w:instrText>
            </w:r>
            <w:r w:rsidR="00870AF2">
              <w:rPr>
                <w:noProof/>
                <w:webHidden/>
              </w:rPr>
            </w:r>
            <w:r w:rsidR="00870AF2">
              <w:rPr>
                <w:noProof/>
                <w:webHidden/>
              </w:rPr>
              <w:fldChar w:fldCharType="separate"/>
            </w:r>
            <w:r w:rsidR="00EF5AB0">
              <w:rPr>
                <w:noProof/>
                <w:webHidden/>
              </w:rPr>
              <w:t>6</w:t>
            </w:r>
            <w:r w:rsidR="00870AF2">
              <w:rPr>
                <w:noProof/>
                <w:webHidden/>
              </w:rPr>
              <w:fldChar w:fldCharType="end"/>
            </w:r>
          </w:hyperlink>
        </w:p>
        <w:p w14:paraId="04DBB37F" w14:textId="07E4F9D0" w:rsidR="00870AF2" w:rsidRDefault="00B47692">
          <w:pPr>
            <w:pStyle w:val="Obsah2"/>
            <w:rPr>
              <w:rFonts w:eastAsiaTheme="minorEastAsia"/>
              <w:noProof/>
              <w:lang w:eastAsia="cs-CZ"/>
            </w:rPr>
          </w:pPr>
          <w:hyperlink w:anchor="_Toc158099297" w:history="1">
            <w:r w:rsidR="00870AF2" w:rsidRPr="00B12928">
              <w:rPr>
                <w:rStyle w:val="Hypertextovodkaz"/>
                <w:noProof/>
              </w:rPr>
              <w:t>2.</w:t>
            </w:r>
            <w:r w:rsidR="00870AF2">
              <w:rPr>
                <w:rFonts w:eastAsiaTheme="minorEastAsia"/>
                <w:noProof/>
                <w:lang w:eastAsia="cs-CZ"/>
              </w:rPr>
              <w:tab/>
            </w:r>
            <w:r w:rsidR="00870AF2" w:rsidRPr="00B12928">
              <w:rPr>
                <w:rStyle w:val="Hypertextovodkaz"/>
                <w:noProof/>
              </w:rPr>
              <w:t>Podmínky a postup pro poskytnutí podpory de minimis SOHZ</w:t>
            </w:r>
            <w:r w:rsidR="00870AF2">
              <w:rPr>
                <w:noProof/>
                <w:webHidden/>
              </w:rPr>
              <w:tab/>
            </w:r>
            <w:r w:rsidR="00870AF2">
              <w:rPr>
                <w:noProof/>
                <w:webHidden/>
              </w:rPr>
              <w:fldChar w:fldCharType="begin"/>
            </w:r>
            <w:r w:rsidR="00870AF2">
              <w:rPr>
                <w:noProof/>
                <w:webHidden/>
              </w:rPr>
              <w:instrText xml:space="preserve"> PAGEREF _Toc158099297 \h </w:instrText>
            </w:r>
            <w:r w:rsidR="00870AF2">
              <w:rPr>
                <w:noProof/>
                <w:webHidden/>
              </w:rPr>
            </w:r>
            <w:r w:rsidR="00870AF2">
              <w:rPr>
                <w:noProof/>
                <w:webHidden/>
              </w:rPr>
              <w:fldChar w:fldCharType="separate"/>
            </w:r>
            <w:r w:rsidR="00EF5AB0">
              <w:rPr>
                <w:noProof/>
                <w:webHidden/>
              </w:rPr>
              <w:t>7</w:t>
            </w:r>
            <w:r w:rsidR="00870AF2">
              <w:rPr>
                <w:noProof/>
                <w:webHidden/>
              </w:rPr>
              <w:fldChar w:fldCharType="end"/>
            </w:r>
          </w:hyperlink>
        </w:p>
        <w:p w14:paraId="7B81B4BF" w14:textId="00EEA9BE" w:rsidR="00870AF2" w:rsidRDefault="00B47692">
          <w:pPr>
            <w:pStyle w:val="Obsah2"/>
            <w:rPr>
              <w:rFonts w:eastAsiaTheme="minorEastAsia"/>
              <w:noProof/>
              <w:lang w:eastAsia="cs-CZ"/>
            </w:rPr>
          </w:pPr>
          <w:hyperlink w:anchor="_Toc158099298" w:history="1">
            <w:r w:rsidR="00870AF2" w:rsidRPr="00B12928">
              <w:rPr>
                <w:rStyle w:val="Hypertextovodkaz"/>
                <w:noProof/>
              </w:rPr>
              <w:t>3.</w:t>
            </w:r>
            <w:r w:rsidR="00870AF2">
              <w:rPr>
                <w:rFonts w:eastAsiaTheme="minorEastAsia"/>
                <w:noProof/>
                <w:lang w:eastAsia="cs-CZ"/>
              </w:rPr>
              <w:tab/>
            </w:r>
            <w:r w:rsidR="00870AF2" w:rsidRPr="00B12928">
              <w:rPr>
                <w:rStyle w:val="Hypertextovodkaz"/>
                <w:noProof/>
              </w:rPr>
              <w:t>Podmínky a postup pro poskytnutí podpory v režimu SOHZ</w:t>
            </w:r>
            <w:r w:rsidR="00870AF2">
              <w:rPr>
                <w:noProof/>
                <w:webHidden/>
              </w:rPr>
              <w:tab/>
            </w:r>
            <w:r w:rsidR="00870AF2">
              <w:rPr>
                <w:noProof/>
                <w:webHidden/>
              </w:rPr>
              <w:fldChar w:fldCharType="begin"/>
            </w:r>
            <w:r w:rsidR="00870AF2">
              <w:rPr>
                <w:noProof/>
                <w:webHidden/>
              </w:rPr>
              <w:instrText xml:space="preserve"> PAGEREF _Toc158099298 \h </w:instrText>
            </w:r>
            <w:r w:rsidR="00870AF2">
              <w:rPr>
                <w:noProof/>
                <w:webHidden/>
              </w:rPr>
            </w:r>
            <w:r w:rsidR="00870AF2">
              <w:rPr>
                <w:noProof/>
                <w:webHidden/>
              </w:rPr>
              <w:fldChar w:fldCharType="separate"/>
            </w:r>
            <w:r w:rsidR="00EF5AB0">
              <w:rPr>
                <w:noProof/>
                <w:webHidden/>
              </w:rPr>
              <w:t>8</w:t>
            </w:r>
            <w:r w:rsidR="00870AF2">
              <w:rPr>
                <w:noProof/>
                <w:webHidden/>
              </w:rPr>
              <w:fldChar w:fldCharType="end"/>
            </w:r>
          </w:hyperlink>
        </w:p>
        <w:p w14:paraId="3A000AA2" w14:textId="1A8B2FC3" w:rsidR="00870AF2" w:rsidRDefault="00B47692">
          <w:pPr>
            <w:pStyle w:val="Obsah2"/>
            <w:rPr>
              <w:rFonts w:eastAsiaTheme="minorEastAsia"/>
              <w:noProof/>
              <w:lang w:eastAsia="cs-CZ"/>
            </w:rPr>
          </w:pPr>
          <w:hyperlink w:anchor="_Toc158099299" w:history="1">
            <w:r w:rsidR="00870AF2" w:rsidRPr="00B12928">
              <w:rPr>
                <w:rStyle w:val="Hypertextovodkaz"/>
                <w:noProof/>
              </w:rPr>
              <w:t>4.</w:t>
            </w:r>
            <w:r w:rsidR="00870AF2">
              <w:rPr>
                <w:rFonts w:eastAsiaTheme="minorEastAsia"/>
                <w:noProof/>
                <w:lang w:eastAsia="cs-CZ"/>
              </w:rPr>
              <w:tab/>
            </w:r>
            <w:r w:rsidR="00870AF2" w:rsidRPr="00B12928">
              <w:rPr>
                <w:rStyle w:val="Hypertextovodkaz"/>
                <w:noProof/>
              </w:rPr>
              <w:t>Podmínky a postup pro poskytnutí podpory v režimu čl. 56 GBER</w:t>
            </w:r>
            <w:r w:rsidR="00870AF2">
              <w:rPr>
                <w:noProof/>
                <w:webHidden/>
              </w:rPr>
              <w:tab/>
            </w:r>
            <w:r w:rsidR="00870AF2">
              <w:rPr>
                <w:noProof/>
                <w:webHidden/>
              </w:rPr>
              <w:fldChar w:fldCharType="begin"/>
            </w:r>
            <w:r w:rsidR="00870AF2">
              <w:rPr>
                <w:noProof/>
                <w:webHidden/>
              </w:rPr>
              <w:instrText xml:space="preserve"> PAGEREF _Toc158099299 \h </w:instrText>
            </w:r>
            <w:r w:rsidR="00870AF2">
              <w:rPr>
                <w:noProof/>
                <w:webHidden/>
              </w:rPr>
            </w:r>
            <w:r w:rsidR="00870AF2">
              <w:rPr>
                <w:noProof/>
                <w:webHidden/>
              </w:rPr>
              <w:fldChar w:fldCharType="separate"/>
            </w:r>
            <w:r w:rsidR="00EF5AB0">
              <w:rPr>
                <w:noProof/>
                <w:webHidden/>
              </w:rPr>
              <w:t>10</w:t>
            </w:r>
            <w:r w:rsidR="00870AF2">
              <w:rPr>
                <w:noProof/>
                <w:webHidden/>
              </w:rPr>
              <w:fldChar w:fldCharType="end"/>
            </w:r>
          </w:hyperlink>
        </w:p>
        <w:p w14:paraId="2EA4BD72" w14:textId="5ED79B42" w:rsidR="00870AF2" w:rsidRDefault="00B47692">
          <w:pPr>
            <w:pStyle w:val="Obsah2"/>
            <w:rPr>
              <w:rFonts w:eastAsiaTheme="minorEastAsia"/>
              <w:noProof/>
              <w:lang w:eastAsia="cs-CZ"/>
            </w:rPr>
          </w:pPr>
          <w:hyperlink w:anchor="_Toc158099300" w:history="1">
            <w:r w:rsidR="00870AF2" w:rsidRPr="00B12928">
              <w:rPr>
                <w:rStyle w:val="Hypertextovodkaz"/>
                <w:noProof/>
              </w:rPr>
              <w:t>5.</w:t>
            </w:r>
            <w:r w:rsidR="00870AF2">
              <w:rPr>
                <w:rFonts w:eastAsiaTheme="minorEastAsia"/>
                <w:noProof/>
                <w:lang w:eastAsia="cs-CZ"/>
              </w:rPr>
              <w:tab/>
            </w:r>
            <w:r w:rsidR="00870AF2" w:rsidRPr="00B12928">
              <w:rPr>
                <w:rStyle w:val="Hypertextovodkaz"/>
                <w:noProof/>
              </w:rPr>
              <w:t>Podmínky pro kombinaci uvedených režimů</w:t>
            </w:r>
            <w:r w:rsidR="00870AF2">
              <w:rPr>
                <w:noProof/>
                <w:webHidden/>
              </w:rPr>
              <w:tab/>
            </w:r>
            <w:r w:rsidR="00870AF2">
              <w:rPr>
                <w:noProof/>
                <w:webHidden/>
              </w:rPr>
              <w:fldChar w:fldCharType="begin"/>
            </w:r>
            <w:r w:rsidR="00870AF2">
              <w:rPr>
                <w:noProof/>
                <w:webHidden/>
              </w:rPr>
              <w:instrText xml:space="preserve"> PAGEREF _Toc158099300 \h </w:instrText>
            </w:r>
            <w:r w:rsidR="00870AF2">
              <w:rPr>
                <w:noProof/>
                <w:webHidden/>
              </w:rPr>
            </w:r>
            <w:r w:rsidR="00870AF2">
              <w:rPr>
                <w:noProof/>
                <w:webHidden/>
              </w:rPr>
              <w:fldChar w:fldCharType="separate"/>
            </w:r>
            <w:r w:rsidR="00EF5AB0">
              <w:rPr>
                <w:noProof/>
                <w:webHidden/>
              </w:rPr>
              <w:t>11</w:t>
            </w:r>
            <w:r w:rsidR="00870AF2">
              <w:rPr>
                <w:noProof/>
                <w:webHidden/>
              </w:rPr>
              <w:fldChar w:fldCharType="end"/>
            </w:r>
          </w:hyperlink>
        </w:p>
        <w:p w14:paraId="398A9D1A" w14:textId="01049B08" w:rsidR="001F2410" w:rsidRDefault="00184027" w:rsidP="537FF910">
          <w:pPr>
            <w:pStyle w:val="Obsah1"/>
            <w:tabs>
              <w:tab w:val="clear" w:pos="9062"/>
              <w:tab w:val="right" w:leader="dot" w:pos="9060"/>
              <w:tab w:val="left" w:pos="435"/>
            </w:tabs>
            <w:rPr>
              <w:noProof/>
              <w:lang w:eastAsia="cs-CZ"/>
            </w:rPr>
          </w:pPr>
          <w:r>
            <w:fldChar w:fldCharType="end"/>
          </w:r>
        </w:p>
      </w:sdtContent>
    </w:sdt>
    <w:p w14:paraId="53128261" w14:textId="77777777" w:rsidR="005F01E8" w:rsidRPr="005F01E8" w:rsidRDefault="005F01E8" w:rsidP="00F50204"/>
    <w:p w14:paraId="04F4D576" w14:textId="3FADC717" w:rsidR="00921F16" w:rsidRDefault="00921F16" w:rsidP="00870AF2">
      <w:pPr>
        <w:pStyle w:val="Nadpis1"/>
        <w:sectPr w:rsidR="00921F16" w:rsidSect="00921F1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docGrid w:linePitch="360"/>
        </w:sectPr>
      </w:pPr>
    </w:p>
    <w:p w14:paraId="310D48DF" w14:textId="4E8CAE60" w:rsidR="008E0388" w:rsidRPr="00870AF2" w:rsidRDefault="008E0388" w:rsidP="00870AF2">
      <w:pPr>
        <w:pStyle w:val="Nadpis1"/>
      </w:pPr>
      <w:bookmarkStart w:id="1" w:name="_Toc158099292"/>
      <w:r w:rsidRPr="00870AF2">
        <w:lastRenderedPageBreak/>
        <w:t>Základní podmínky</w:t>
      </w:r>
      <w:r w:rsidR="00A578CF" w:rsidRPr="00870AF2">
        <w:t xml:space="preserve"> podpory výz</w:t>
      </w:r>
      <w:r w:rsidR="005C6291" w:rsidRPr="00870AF2">
        <w:t>ev</w:t>
      </w:r>
      <w:r w:rsidR="00A578CF" w:rsidRPr="00870AF2">
        <w:t xml:space="preserve"> 4.1.3</w:t>
      </w:r>
      <w:bookmarkEnd w:id="1"/>
      <w:r w:rsidR="00CA390C" w:rsidRPr="00870AF2">
        <w:t xml:space="preserve"> </w:t>
      </w:r>
    </w:p>
    <w:p w14:paraId="5FF4B82A" w14:textId="12095D29" w:rsidR="00A578CF" w:rsidRDefault="00A578CF" w:rsidP="00D7256A">
      <w:r>
        <w:t xml:space="preserve">V rámci </w:t>
      </w:r>
      <w:r w:rsidR="00A7611D">
        <w:t>výzev</w:t>
      </w:r>
      <w:r>
        <w:t xml:space="preserve"> 4.1.3</w:t>
      </w:r>
      <w:r w:rsidR="00CA390C">
        <w:t xml:space="preserve"> </w:t>
      </w:r>
      <w:r>
        <w:t>může být dotace poskytnuta jako:</w:t>
      </w:r>
    </w:p>
    <w:p w14:paraId="40CD1873" w14:textId="7300A97C" w:rsidR="00A578CF" w:rsidRPr="009B02BD" w:rsidRDefault="00A578CF" w:rsidP="009B02BD">
      <w:pPr>
        <w:pStyle w:val="Odstavecseseznamem"/>
        <w:numPr>
          <w:ilvl w:val="0"/>
          <w:numId w:val="50"/>
        </w:numPr>
        <w:spacing w:after="0"/>
        <w:ind w:left="357" w:hanging="357"/>
        <w:rPr>
          <w:i/>
          <w:iCs/>
        </w:rPr>
      </w:pPr>
      <w:r w:rsidRPr="00EF5AB0">
        <w:rPr>
          <w:rStyle w:val="cf01"/>
          <w:rFonts w:asciiTheme="minorHAnsi" w:eastAsia="Times New Roman" w:hAnsiTheme="minorHAnsi" w:cstheme="minorHAnsi"/>
          <w:b/>
          <w:bCs/>
          <w:i w:val="0"/>
          <w:iCs w:val="0"/>
          <w:sz w:val="22"/>
          <w:szCs w:val="22"/>
          <w:lang w:eastAsia="cs-CZ"/>
        </w:rPr>
        <w:t>podpora nezakládající veřejnou podporu</w:t>
      </w:r>
      <w:r w:rsidRPr="009B02BD">
        <w:rPr>
          <w:rStyle w:val="cf01"/>
          <w:rFonts w:asciiTheme="minorHAnsi" w:eastAsia="Times New Roman" w:hAnsiTheme="minorHAnsi" w:cstheme="minorHAnsi"/>
          <w:i w:val="0"/>
          <w:iCs w:val="0"/>
          <w:sz w:val="22"/>
          <w:szCs w:val="22"/>
          <w:lang w:eastAsia="cs-CZ"/>
        </w:rPr>
        <w:t xml:space="preserve"> ve smyslu článku 107 odst. 1 Smlouvy o fungování EU</w:t>
      </w:r>
      <w:r w:rsidRPr="009B02BD">
        <w:rPr>
          <w:rStyle w:val="cf01"/>
          <w:rFonts w:asciiTheme="minorHAnsi" w:eastAsia="Times New Roman" w:hAnsiTheme="minorHAnsi" w:cstheme="minorHAnsi"/>
          <w:sz w:val="22"/>
          <w:szCs w:val="22"/>
          <w:lang w:eastAsia="cs-CZ"/>
        </w:rPr>
        <w:t xml:space="preserve"> </w:t>
      </w:r>
      <w:r w:rsidR="005566F4" w:rsidRPr="009B02BD">
        <w:rPr>
          <w:rStyle w:val="cf01"/>
          <w:rFonts w:asciiTheme="minorHAnsi" w:eastAsia="Times New Roman" w:hAnsiTheme="minorHAnsi" w:cstheme="minorHAnsi"/>
          <w:sz w:val="22"/>
          <w:szCs w:val="22"/>
          <w:lang w:eastAsia="cs-CZ"/>
        </w:rPr>
        <w:br/>
      </w:r>
      <w:r w:rsidR="005566F4">
        <w:t>nebo</w:t>
      </w:r>
      <w:r w:rsidR="005566F4">
        <w:br/>
      </w:r>
      <w:r>
        <w:t xml:space="preserve">s využitím těchto </w:t>
      </w:r>
      <w:r w:rsidR="00D3487A">
        <w:t xml:space="preserve">možných </w:t>
      </w:r>
      <w:r w:rsidR="00083941">
        <w:t>způsobů financování</w:t>
      </w:r>
      <w:r w:rsidR="005566F4">
        <w:t>:</w:t>
      </w:r>
    </w:p>
    <w:p w14:paraId="1FCD8246" w14:textId="0797337F" w:rsidR="0019393F" w:rsidRPr="0098240D" w:rsidRDefault="0019393F" w:rsidP="009B02BD">
      <w:pPr>
        <w:pStyle w:val="pf0"/>
        <w:numPr>
          <w:ilvl w:val="0"/>
          <w:numId w:val="48"/>
        </w:numPr>
        <w:ind w:left="357" w:hanging="357"/>
        <w:rPr>
          <w:rFonts w:asciiTheme="minorHAnsi" w:hAnsiTheme="minorHAnsi" w:cstheme="minorHAnsi"/>
          <w:sz w:val="22"/>
          <w:szCs w:val="22"/>
        </w:rPr>
      </w:pPr>
      <w:r w:rsidRPr="00EF5AB0">
        <w:rPr>
          <w:rStyle w:val="cf01"/>
          <w:rFonts w:asciiTheme="minorHAnsi" w:hAnsiTheme="minorHAnsi" w:cstheme="minorHAnsi"/>
          <w:b/>
          <w:bCs/>
          <w:i w:val="0"/>
          <w:iCs w:val="0"/>
          <w:sz w:val="22"/>
          <w:szCs w:val="22"/>
        </w:rPr>
        <w:t>podpora de minimis</w:t>
      </w:r>
      <w:r>
        <w:rPr>
          <w:rStyle w:val="cf01"/>
          <w:rFonts w:asciiTheme="minorHAnsi" w:hAnsiTheme="minorHAnsi" w:cstheme="minorHAnsi"/>
          <w:i w:val="0"/>
          <w:iCs w:val="0"/>
          <w:sz w:val="22"/>
          <w:szCs w:val="22"/>
        </w:rPr>
        <w:t xml:space="preserve">, která </w:t>
      </w:r>
      <w:r w:rsidRPr="0098240D">
        <w:rPr>
          <w:rStyle w:val="cf01"/>
          <w:rFonts w:asciiTheme="minorHAnsi" w:hAnsiTheme="minorHAnsi" w:cstheme="minorHAnsi"/>
          <w:i w:val="0"/>
          <w:iCs w:val="0"/>
          <w:sz w:val="22"/>
          <w:szCs w:val="22"/>
        </w:rPr>
        <w:t xml:space="preserve">bude poskytována dle Nařízení Komise (EU) 2023/2831 ze dne 13. prosince 2023 o použití článků 107 a 108 Smlouvy o fungování Evropské unie na podporu de minimis, Úř. věst. L 15.12.2023, které ke dni 1. 1. 2024 nahrazuje nařízení Komise (EU) č. 1407/2013 ze dne 18. prosince 2013 o použití článků 107 a 108 Smlouvy o fungování Evropské unie na podporu de minimis, </w:t>
      </w:r>
      <w:r w:rsidRPr="0098240D">
        <w:rPr>
          <w:rStyle w:val="cf11"/>
          <w:rFonts w:asciiTheme="minorHAnsi" w:hAnsiTheme="minorHAnsi" w:cstheme="minorHAnsi"/>
          <w:sz w:val="22"/>
          <w:szCs w:val="22"/>
        </w:rPr>
        <w:t>Ú</w:t>
      </w:r>
      <w:r w:rsidRPr="0098240D">
        <w:rPr>
          <w:rStyle w:val="cf01"/>
          <w:rFonts w:asciiTheme="minorHAnsi" w:hAnsiTheme="minorHAnsi" w:cstheme="minorHAnsi"/>
          <w:i w:val="0"/>
          <w:iCs w:val="0"/>
          <w:sz w:val="22"/>
          <w:szCs w:val="22"/>
        </w:rPr>
        <w:t>ř. věst. L 352, 24. 12. 2013. Po dobu přechodného období, tj. nejdéle do 30.6.2024, bude podpora poskytována dle Nařízení Komise (EU) č. 1407/2013</w:t>
      </w:r>
      <w:r w:rsidR="008A1CE7">
        <w:rPr>
          <w:rStyle w:val="cf01"/>
          <w:rFonts w:asciiTheme="minorHAnsi" w:hAnsiTheme="minorHAnsi" w:cstheme="minorHAnsi"/>
          <w:i w:val="0"/>
          <w:iCs w:val="0"/>
          <w:sz w:val="22"/>
          <w:szCs w:val="22"/>
        </w:rPr>
        <w:t>;</w:t>
      </w:r>
    </w:p>
    <w:p w14:paraId="2EC0DD8E" w14:textId="7E9A9DF6" w:rsidR="0019393F" w:rsidRPr="0098240D" w:rsidRDefault="004F59B2" w:rsidP="009B02BD">
      <w:pPr>
        <w:pStyle w:val="pf0"/>
        <w:numPr>
          <w:ilvl w:val="0"/>
          <w:numId w:val="48"/>
        </w:numPr>
        <w:rPr>
          <w:rFonts w:asciiTheme="minorHAnsi" w:hAnsiTheme="minorHAnsi" w:cstheme="minorHAnsi"/>
          <w:sz w:val="20"/>
          <w:szCs w:val="20"/>
        </w:rPr>
      </w:pPr>
      <w:r w:rsidRPr="00EF5AB0">
        <w:rPr>
          <w:rFonts w:asciiTheme="minorHAnsi" w:hAnsiTheme="minorHAnsi" w:cstheme="minorHAnsi"/>
          <w:b/>
          <w:bCs/>
          <w:sz w:val="22"/>
          <w:szCs w:val="22"/>
        </w:rPr>
        <w:t>podpora de minimis pro SOHZ</w:t>
      </w:r>
      <w:r w:rsidR="0019393F" w:rsidRPr="006452B8">
        <w:rPr>
          <w:rFonts w:asciiTheme="minorHAnsi" w:hAnsiTheme="minorHAnsi" w:cstheme="minorHAnsi"/>
          <w:sz w:val="22"/>
          <w:szCs w:val="22"/>
        </w:rPr>
        <w:t>,</w:t>
      </w:r>
      <w:r w:rsidR="0019393F">
        <w:t xml:space="preserve"> </w:t>
      </w:r>
      <w:r w:rsidR="0019393F" w:rsidRPr="0098240D">
        <w:rPr>
          <w:rFonts w:asciiTheme="minorHAnsi" w:hAnsiTheme="minorHAnsi" w:cstheme="minorHAnsi"/>
          <w:sz w:val="22"/>
          <w:szCs w:val="22"/>
        </w:rPr>
        <w:t xml:space="preserve">která bude </w:t>
      </w:r>
      <w:r w:rsidR="0019393F" w:rsidRPr="0098240D">
        <w:rPr>
          <w:rStyle w:val="cf01"/>
          <w:rFonts w:asciiTheme="minorHAnsi" w:hAnsiTheme="minorHAnsi" w:cstheme="minorHAnsi"/>
          <w:i w:val="0"/>
          <w:iCs w:val="0"/>
          <w:sz w:val="22"/>
          <w:szCs w:val="22"/>
        </w:rPr>
        <w:t>poskytována dle Nařízení Komise (EU) 2023/2832 ze dne 13. prosince 2023 o použití článků 107 a 108 Smlouvy o fungování Evropské unie na podporu de minimis udílenou podnikům poskytujícím služby obecného hospodářského zájmu, Úř. věst. L 15.12.2023</w:t>
      </w:r>
      <w:r w:rsidR="0019393F" w:rsidRPr="0098240D">
        <w:rPr>
          <w:rStyle w:val="cf11"/>
          <w:rFonts w:asciiTheme="minorHAnsi" w:hAnsiTheme="minorHAnsi" w:cstheme="minorHAnsi"/>
          <w:sz w:val="22"/>
          <w:szCs w:val="22"/>
        </w:rPr>
        <w:t xml:space="preserve">, </w:t>
      </w:r>
      <w:r w:rsidR="0019393F" w:rsidRPr="0098240D">
        <w:rPr>
          <w:rStyle w:val="cf01"/>
          <w:rFonts w:asciiTheme="minorHAnsi" w:hAnsiTheme="minorHAnsi" w:cstheme="minorHAnsi"/>
          <w:i w:val="0"/>
          <w:iCs w:val="0"/>
          <w:sz w:val="22"/>
          <w:szCs w:val="22"/>
        </w:rPr>
        <w:t>nahrazuje nařízení Komise (EU) č. 360/2012 ze dne 25. dubna 2012 o použití článků 107 a 108 Smlouvy o fungování Evropské unie na podporu de minimis udílenou podnikům poskytujícím služby obecného hospodářského zájmu, Úř. věst. L 114, 26. 4. 2012</w:t>
      </w:r>
      <w:r w:rsidR="0019393F" w:rsidRPr="0098240D">
        <w:rPr>
          <w:rStyle w:val="cf11"/>
          <w:rFonts w:asciiTheme="minorHAnsi" w:hAnsiTheme="minorHAnsi" w:cstheme="minorHAnsi"/>
          <w:sz w:val="22"/>
          <w:szCs w:val="22"/>
        </w:rPr>
        <w:t>.</w:t>
      </w:r>
      <w:r w:rsidR="0019393F" w:rsidRPr="0098240D">
        <w:rPr>
          <w:rStyle w:val="cf01"/>
          <w:rFonts w:asciiTheme="minorHAnsi" w:hAnsiTheme="minorHAnsi" w:cstheme="minorHAnsi"/>
          <w:i w:val="0"/>
          <w:iCs w:val="0"/>
          <w:sz w:val="22"/>
          <w:szCs w:val="22"/>
        </w:rPr>
        <w:t xml:space="preserve"> Po dobu přechodného období, tj. nejdéle do 30.6.2024 bude podpora poskytována dle nařízení Komise (EU) č. 360/2012</w:t>
      </w:r>
      <w:r w:rsidR="00BC0C0B">
        <w:rPr>
          <w:rStyle w:val="Znakapoznpodarou"/>
          <w:rFonts w:asciiTheme="minorHAnsi" w:hAnsiTheme="minorHAnsi" w:cstheme="minorHAnsi"/>
          <w:sz w:val="22"/>
          <w:szCs w:val="22"/>
        </w:rPr>
        <w:footnoteReference w:id="2"/>
      </w:r>
      <w:r w:rsidR="008A1CE7">
        <w:rPr>
          <w:rStyle w:val="cf01"/>
          <w:rFonts w:asciiTheme="minorHAnsi" w:hAnsiTheme="minorHAnsi" w:cstheme="minorHAnsi"/>
          <w:i w:val="0"/>
          <w:iCs w:val="0"/>
          <w:sz w:val="22"/>
          <w:szCs w:val="22"/>
        </w:rPr>
        <w:t>;</w:t>
      </w:r>
    </w:p>
    <w:p w14:paraId="654876B8" w14:textId="64E1D450" w:rsidR="00A578CF" w:rsidRDefault="00A578CF" w:rsidP="009B02BD">
      <w:pPr>
        <w:pStyle w:val="Odstavecseseznamem"/>
        <w:numPr>
          <w:ilvl w:val="0"/>
          <w:numId w:val="48"/>
        </w:numPr>
      </w:pPr>
      <w:r w:rsidRPr="00EF5AB0">
        <w:rPr>
          <w:b/>
          <w:bCs/>
        </w:rPr>
        <w:t>veřejná podpora v režimu závazku veřejné služby</w:t>
      </w:r>
      <w:r>
        <w:t xml:space="preserve"> podle Rozhodnutí Komise ze dne 20. prosince 2011 o použití čl. 106 odst. 2 Smlouvy o fungování Evropské unie na státní podporu ve formě vyrovnávací platby za závazek veřejné služby udělené určitým podnikům pověřeným poskytováním služeb obecného hospodářského zájmu (2012/21/EU)</w:t>
      </w:r>
      <w:r w:rsidR="008A1CE7">
        <w:t xml:space="preserve"> </w:t>
      </w:r>
      <w:r>
        <w:t xml:space="preserve">(„režim </w:t>
      </w:r>
      <w:r w:rsidRPr="00EF5AB0">
        <w:rPr>
          <w:b/>
          <w:bCs/>
        </w:rPr>
        <w:t>SOHZ</w:t>
      </w:r>
      <w:r>
        <w:t>“)</w:t>
      </w:r>
      <w:r w:rsidR="008A1CE7">
        <w:t>;</w:t>
      </w:r>
    </w:p>
    <w:p w14:paraId="46ED478E" w14:textId="0C479BFB" w:rsidR="008A1CE7" w:rsidRDefault="008A1CE7" w:rsidP="009B02BD">
      <w:pPr>
        <w:pStyle w:val="Odstavecseseznamem"/>
        <w:numPr>
          <w:ilvl w:val="0"/>
          <w:numId w:val="48"/>
        </w:numPr>
      </w:pPr>
      <w:r>
        <w:t xml:space="preserve">veřejná podpora </w:t>
      </w:r>
      <w:r w:rsidR="00A578CF">
        <w:t>podle nařízení Komise (EU) č. 651/2014 ze dne 17. června 2014, kterým se v souladu s články 107 a 108 Smlouvy prohlašují určité kategorie podpory za slučitelné s vnitřním trhem</w:t>
      </w:r>
      <w:r>
        <w:t>,</w:t>
      </w:r>
      <w:r w:rsidR="00A578CF">
        <w:t xml:space="preserve"> ve znění pozdějších předpisů (dále jen „</w:t>
      </w:r>
      <w:r w:rsidR="00A578CF" w:rsidRPr="00EF5AB0">
        <w:rPr>
          <w:b/>
          <w:bCs/>
        </w:rPr>
        <w:t>GBER</w:t>
      </w:r>
      <w:r w:rsidR="00A578CF">
        <w:t>“).</w:t>
      </w:r>
    </w:p>
    <w:p w14:paraId="3237947F" w14:textId="694B8C3B" w:rsidR="00A7611D" w:rsidRPr="00EF5AB0" w:rsidRDefault="00A7611D" w:rsidP="00EF5AB0">
      <w:pPr>
        <w:rPr>
          <w:u w:val="single"/>
        </w:rPr>
      </w:pPr>
      <w:r w:rsidRPr="00EF5AB0">
        <w:rPr>
          <w:u w:val="single"/>
        </w:rPr>
        <w:t>Záleží však na tom, jaký z těchto režimů je pro danou výzvu v její textaci umožněn.</w:t>
      </w:r>
    </w:p>
    <w:tbl>
      <w:tblPr>
        <w:tblStyle w:val="Mkatabulky"/>
        <w:tblW w:w="0" w:type="auto"/>
        <w:tblLook w:val="04A0" w:firstRow="1" w:lastRow="0" w:firstColumn="1" w:lastColumn="0" w:noHBand="0" w:noVBand="1"/>
      </w:tblPr>
      <w:tblGrid>
        <w:gridCol w:w="9062"/>
      </w:tblGrid>
      <w:tr w:rsidR="009B02BD" w14:paraId="4AAF8F4F" w14:textId="77777777" w:rsidTr="009B02BD">
        <w:tc>
          <w:tcPr>
            <w:tcW w:w="9062" w:type="dxa"/>
            <w:tcBorders>
              <w:top w:val="nil"/>
              <w:left w:val="nil"/>
              <w:bottom w:val="nil"/>
              <w:right w:val="nil"/>
            </w:tcBorders>
            <w:vAlign w:val="center"/>
          </w:tcPr>
          <w:p w14:paraId="5602F64B" w14:textId="4337D4EA" w:rsidR="009B02BD" w:rsidRDefault="009B02BD" w:rsidP="009B02BD">
            <w:pPr>
              <w:jc w:val="center"/>
            </w:pPr>
            <w:r>
              <w:rPr>
                <w:noProof/>
              </w:rPr>
              <w:drawing>
                <wp:inline distT="0" distB="0" distL="0" distR="0" wp14:anchorId="4FEFDD50" wp14:editId="400A2AC4">
                  <wp:extent cx="4210050" cy="19335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bl>
    <w:p w14:paraId="02E8529D" w14:textId="05DE2408" w:rsidR="00D406A7" w:rsidRPr="00D406A7" w:rsidRDefault="00D406A7" w:rsidP="009B02BD">
      <w:pPr>
        <w:spacing w:after="120"/>
        <w:rPr>
          <w:lang w:val="en-US"/>
        </w:rPr>
      </w:pPr>
      <w:r w:rsidRPr="00D406A7">
        <w:lastRenderedPageBreak/>
        <w:t>V</w:t>
      </w:r>
      <w:r>
        <w:t> </w:t>
      </w:r>
      <w:r w:rsidRPr="00D406A7">
        <w:t>žádosti</w:t>
      </w:r>
      <w:r>
        <w:t xml:space="preserve"> </w:t>
      </w:r>
      <w:r w:rsidRPr="00D406A7">
        <w:t>o dotaci je žadatel povinen určit</w:t>
      </w:r>
      <w:r w:rsidR="0056482C">
        <w:t>,</w:t>
      </w:r>
      <w:r w:rsidRPr="00D406A7">
        <w:t xml:space="preserve"> </w:t>
      </w:r>
      <w:r w:rsidR="0056482C">
        <w:t>zda</w:t>
      </w:r>
      <w:r w:rsidR="0056482C" w:rsidRPr="00D406A7">
        <w:t xml:space="preserve"> </w:t>
      </w:r>
      <w:r w:rsidRPr="00D406A7">
        <w:t>dotace zakládá nebo nezaklád</w:t>
      </w:r>
      <w:r>
        <w:t>á</w:t>
      </w:r>
      <w:r w:rsidRPr="00D406A7">
        <w:t xml:space="preserve"> veřejnou podpor</w:t>
      </w:r>
      <w:r>
        <w:t xml:space="preserve">u. </w:t>
      </w:r>
      <w:r w:rsidRPr="00D406A7">
        <w:t>V případě, že žadatel vyhodnotí svůj záměr jako veřejnou podporu</w:t>
      </w:r>
      <w:r w:rsidR="008A1CE7">
        <w:t>,</w:t>
      </w:r>
      <w:r w:rsidRPr="00D406A7">
        <w:t xml:space="preserve"> </w:t>
      </w:r>
      <w:r w:rsidR="002B52FE">
        <w:t>zvolí</w:t>
      </w:r>
      <w:r>
        <w:t xml:space="preserve"> jeden </w:t>
      </w:r>
      <w:r w:rsidR="00F7268E">
        <w:t>z uvedených způsobů financování</w:t>
      </w:r>
      <w:r w:rsidR="003C3830">
        <w:t xml:space="preserve"> (De minimis,</w:t>
      </w:r>
      <w:r w:rsidR="005566F4">
        <w:t xml:space="preserve"> De minimis SOHZ,</w:t>
      </w:r>
      <w:r w:rsidR="003C3830">
        <w:t xml:space="preserve"> GBER, SOHZ)</w:t>
      </w:r>
      <w:r>
        <w:t>.</w:t>
      </w:r>
      <w:r w:rsidR="00C17FEA">
        <w:t xml:space="preserve"> K tomu použije Formulář ke stanovení režimu veřejné podpory, který je přílohou Pravidel pro žadatele a příjemce.</w:t>
      </w:r>
    </w:p>
    <w:p w14:paraId="270E67BE" w14:textId="6DC68994" w:rsidR="008E0388" w:rsidRDefault="008E0388" w:rsidP="00870AF2">
      <w:pPr>
        <w:pStyle w:val="Nadpis1"/>
      </w:pPr>
      <w:bookmarkStart w:id="2" w:name="_Toc158099293"/>
      <w:r>
        <w:t>Obecné informace k pojmu veřejné podpory</w:t>
      </w:r>
      <w:bookmarkEnd w:id="2"/>
    </w:p>
    <w:p w14:paraId="1056D4AF" w14:textId="057F6378" w:rsidR="00AD0E0B" w:rsidRPr="007664AA" w:rsidRDefault="005B4B55" w:rsidP="0098240D">
      <w:pPr>
        <w:jc w:val="both"/>
      </w:pPr>
      <w:r>
        <w:t>P</w:t>
      </w:r>
      <w:r w:rsidR="00AD0E0B" w:rsidRPr="342DE9C9">
        <w:t xml:space="preserve">oskytnutá </w:t>
      </w:r>
      <w:r w:rsidR="00AD0E0B">
        <w:t>dotace</w:t>
      </w:r>
      <w:r w:rsidR="00AD0E0B" w:rsidRPr="342DE9C9">
        <w:t xml:space="preserve"> </w:t>
      </w:r>
      <w:r>
        <w:t xml:space="preserve">bude </w:t>
      </w:r>
      <w:r w:rsidR="00FC62C4">
        <w:t>zakláda</w:t>
      </w:r>
      <w:r>
        <w:t>t</w:t>
      </w:r>
      <w:r w:rsidR="00FC62C4">
        <w:t xml:space="preserve"> veřejnou podporu</w:t>
      </w:r>
      <w:r w:rsidR="00AD0E0B" w:rsidRPr="342DE9C9">
        <w:t xml:space="preserve"> ve smyslu čl. 107 Smlouvy</w:t>
      </w:r>
      <w:r w:rsidR="00AD0E0B">
        <w:t xml:space="preserve"> o fungování EU</w:t>
      </w:r>
      <w:r w:rsidR="00AD0E0B" w:rsidRPr="342DE9C9">
        <w:t xml:space="preserve">, </w:t>
      </w:r>
      <w:r>
        <w:t>pokud</w:t>
      </w:r>
      <w:r w:rsidRPr="342DE9C9">
        <w:t xml:space="preserve"> </w:t>
      </w:r>
      <w:r w:rsidR="00FC62C4">
        <w:t>kumulativně napln</w:t>
      </w:r>
      <w:r>
        <w:t>í</w:t>
      </w:r>
      <w:r w:rsidR="00FC62C4">
        <w:t xml:space="preserve"> </w:t>
      </w:r>
      <w:r w:rsidR="00D406A7">
        <w:t>4</w:t>
      </w:r>
      <w:r w:rsidR="00AD0E0B" w:rsidRPr="342DE9C9">
        <w:t xml:space="preserve"> </w:t>
      </w:r>
      <w:r w:rsidR="00AD0E0B">
        <w:t xml:space="preserve">níže </w:t>
      </w:r>
      <w:r w:rsidR="00AD0E0B" w:rsidRPr="342DE9C9">
        <w:t xml:space="preserve">uvedené znaky. Pokud </w:t>
      </w:r>
      <w:r w:rsidR="00D406A7">
        <w:t xml:space="preserve">alespoň </w:t>
      </w:r>
      <w:r w:rsidR="00AD0E0B" w:rsidRPr="342DE9C9">
        <w:t>jeden</w:t>
      </w:r>
      <w:r w:rsidR="00AD0E0B">
        <w:t xml:space="preserve"> z </w:t>
      </w:r>
      <w:r w:rsidR="00AD0E0B" w:rsidRPr="342DE9C9">
        <w:t>těchto znaků</w:t>
      </w:r>
      <w:r>
        <w:t xml:space="preserve"> </w:t>
      </w:r>
      <w:r w:rsidR="00632BC6">
        <w:t>nebude naplněn</w:t>
      </w:r>
      <w:r w:rsidR="00AD0E0B">
        <w:t>, o </w:t>
      </w:r>
      <w:r w:rsidR="00AD0E0B" w:rsidRPr="342DE9C9">
        <w:t>veřejnou podporu se</w:t>
      </w:r>
      <w:r>
        <w:t xml:space="preserve"> jednat nebude</w:t>
      </w:r>
      <w:r w:rsidR="00AD0E0B" w:rsidRPr="342DE9C9">
        <w:t xml:space="preserve">. </w:t>
      </w:r>
    </w:p>
    <w:p w14:paraId="6E29EA27" w14:textId="29E1F8D1" w:rsidR="00AD0E0B" w:rsidRPr="00CB2D62" w:rsidRDefault="00390A6C" w:rsidP="00CB2D62">
      <w:pPr>
        <w:pStyle w:val="Nzev"/>
        <w:numPr>
          <w:ilvl w:val="0"/>
          <w:numId w:val="45"/>
        </w:numPr>
        <w:rPr>
          <w:rFonts w:eastAsia="Times New Roman"/>
          <w:b/>
          <w:bCs/>
        </w:rPr>
      </w:pPr>
      <w:r w:rsidRPr="00CB2D62">
        <w:rPr>
          <w:rFonts w:eastAsia="Times New Roman"/>
          <w:b/>
          <w:bCs/>
        </w:rPr>
        <w:t>Podpora je poskytnuta státem nebo z veřejných prostředků</w:t>
      </w:r>
    </w:p>
    <w:p w14:paraId="441E5B4A" w14:textId="0317B18A" w:rsidR="00AD0E0B" w:rsidRPr="001D4761" w:rsidRDefault="00AD0E0B" w:rsidP="0098240D">
      <w:pPr>
        <w:jc w:val="both"/>
        <w:rPr>
          <w:rFonts w:eastAsiaTheme="minorEastAsia"/>
          <w:color w:val="000000" w:themeColor="text1"/>
        </w:rPr>
      </w:pPr>
      <w:r>
        <w:t xml:space="preserve">První znak spočívající v poskytování podpory v jakékoli formě </w:t>
      </w:r>
      <w:r w:rsidR="00FB1A34">
        <w:t>(např. dotace)</w:t>
      </w:r>
      <w:r w:rsidR="00AB243B">
        <w:t xml:space="preserve"> </w:t>
      </w:r>
      <w:r w:rsidRPr="000C370D">
        <w:rPr>
          <w:b/>
          <w:bCs/>
        </w:rPr>
        <w:t>ze státních (veřejných) prostředků</w:t>
      </w:r>
      <w:r>
        <w:t xml:space="preserve"> je v případě projektů realizovaných v rámci Národního plánu obnovy naplněn</w:t>
      </w:r>
      <w:r w:rsidR="00632BC6">
        <w:t xml:space="preserve"> vždy</w:t>
      </w:r>
      <w:r>
        <w:t>.</w:t>
      </w:r>
    </w:p>
    <w:p w14:paraId="5BA105F1" w14:textId="4F059706" w:rsidR="00AD0E0B" w:rsidRPr="00CB2D62" w:rsidRDefault="00390A6C" w:rsidP="00CB2D62">
      <w:pPr>
        <w:pStyle w:val="Nzev"/>
        <w:numPr>
          <w:ilvl w:val="0"/>
          <w:numId w:val="45"/>
        </w:numPr>
        <w:rPr>
          <w:rFonts w:eastAsia="Times New Roman"/>
          <w:b/>
          <w:bCs/>
        </w:rPr>
      </w:pPr>
      <w:r w:rsidRPr="00CB2D62">
        <w:rPr>
          <w:rFonts w:eastAsia="Times New Roman"/>
          <w:b/>
          <w:bCs/>
        </w:rPr>
        <w:t>Podpora zvýhodňuje určité podniky nebo určité odvětví podnikání</w:t>
      </w:r>
    </w:p>
    <w:p w14:paraId="4B6DC325" w14:textId="3F029E6D" w:rsidR="00AD0E0B" w:rsidRPr="00440E3A" w:rsidRDefault="00AD0E0B" w:rsidP="0098240D">
      <w:pPr>
        <w:jc w:val="both"/>
      </w:pPr>
      <w:r w:rsidRPr="00440E3A">
        <w:t>Pravidla veřejné podpory se aplikují pouze ve vztahu k</w:t>
      </w:r>
      <w:r w:rsidR="004113D5" w:rsidRPr="00440E3A">
        <w:t> </w:t>
      </w:r>
      <w:r w:rsidRPr="00440E3A">
        <w:t>podnikům</w:t>
      </w:r>
      <w:r w:rsidR="004113D5" w:rsidRPr="00440E3A">
        <w:t>.</w:t>
      </w:r>
      <w:r w:rsidR="001E7682" w:rsidRPr="00440E3A">
        <w:t xml:space="preserve"> Definici podniku </w:t>
      </w:r>
      <w:r w:rsidR="00AB243B">
        <w:t>však</w:t>
      </w:r>
      <w:r w:rsidR="001E7682" w:rsidRPr="00440E3A">
        <w:t xml:space="preserve"> mohou naplňovat nejen obchodní společnosti a podnikatelé, ale také např. spolky, církve, neziskové</w:t>
      </w:r>
      <w:r w:rsidR="00CD40B4">
        <w:t xml:space="preserve"> či příspěvkové </w:t>
      </w:r>
      <w:r w:rsidR="001E7682" w:rsidRPr="00440E3A">
        <w:t>organizace, školy</w:t>
      </w:r>
      <w:r w:rsidR="00C01513">
        <w:t>,</w:t>
      </w:r>
      <w:r w:rsidR="001E7682" w:rsidRPr="00440E3A">
        <w:t xml:space="preserve"> veřejné instituce</w:t>
      </w:r>
      <w:r w:rsidR="00AB243B">
        <w:t xml:space="preserve"> </w:t>
      </w:r>
      <w:r w:rsidR="00AB243B" w:rsidRPr="006452B8">
        <w:t xml:space="preserve">a </w:t>
      </w:r>
      <w:r w:rsidR="001E7682" w:rsidRPr="006452B8">
        <w:t>územní samosprávné celky</w:t>
      </w:r>
      <w:r w:rsidR="00AB243B" w:rsidRPr="006452B8">
        <w:t>.</w:t>
      </w:r>
    </w:p>
    <w:p w14:paraId="4CE43F0D" w14:textId="5355E5E2" w:rsidR="00AD0E0B" w:rsidRPr="00440E3A" w:rsidRDefault="00AD0E0B" w:rsidP="0098240D">
      <w:pPr>
        <w:jc w:val="both"/>
      </w:pPr>
      <w:r w:rsidRPr="00440E3A">
        <w:t>Podnikem</w:t>
      </w:r>
      <w:r w:rsidR="004113D5" w:rsidRPr="00440E3A">
        <w:t xml:space="preserve"> </w:t>
      </w:r>
      <w:r w:rsidR="00FC62C4">
        <w:t>je</w:t>
      </w:r>
      <w:r w:rsidR="004113D5" w:rsidRPr="00440E3A">
        <w:t xml:space="preserve"> </w:t>
      </w:r>
      <w:r w:rsidRPr="00440E3A">
        <w:t xml:space="preserve">jakákoli entita bez ohledu na právní status či způsob financování vykonávající </w:t>
      </w:r>
      <w:r w:rsidR="00C53922">
        <w:t>hospodářskou</w:t>
      </w:r>
      <w:r w:rsidR="00C53922" w:rsidRPr="00440E3A">
        <w:t xml:space="preserve"> </w:t>
      </w:r>
      <w:r w:rsidR="00D406A7" w:rsidRPr="00440E3A">
        <w:t>(</w:t>
      </w:r>
      <w:r w:rsidR="00C53922">
        <w:t>ekonomickou</w:t>
      </w:r>
      <w:r w:rsidR="00D406A7" w:rsidRPr="00440E3A">
        <w:t>)</w:t>
      </w:r>
      <w:r w:rsidRPr="00440E3A">
        <w:t xml:space="preserve"> </w:t>
      </w:r>
      <w:r w:rsidR="00C53922">
        <w:t>činnost</w:t>
      </w:r>
      <w:r w:rsidRPr="00440E3A">
        <w:t xml:space="preserve">. </w:t>
      </w:r>
      <w:r w:rsidR="00E02615">
        <w:t>O</w:t>
      </w:r>
      <w:r w:rsidR="00C97966">
        <w:t>z</w:t>
      </w:r>
      <w:r w:rsidR="00E22DD6" w:rsidRPr="00440E3A">
        <w:rPr>
          <w:color w:val="000000"/>
          <w:shd w:val="clear" w:color="auto" w:fill="FFFFFF"/>
        </w:rPr>
        <w:t>načení subjektu za podnik vždy souvisí s konkrétní činností. Subjekt, který vykonává jak hospodářské, tak nehospodářské činnosti, se považuje za podnik pouze v souvislosti s činnostmi hospodářskými</w:t>
      </w:r>
      <w:r w:rsidR="00E02615">
        <w:rPr>
          <w:color w:val="000000"/>
          <w:shd w:val="clear" w:color="auto" w:fill="FFFFFF"/>
        </w:rPr>
        <w:t>.</w:t>
      </w:r>
    </w:p>
    <w:p w14:paraId="6B53C30A" w14:textId="48826248" w:rsidR="00AD0E0B" w:rsidRPr="00440E3A" w:rsidRDefault="00E02615" w:rsidP="0098240D">
      <w:pPr>
        <w:jc w:val="both"/>
      </w:pPr>
      <w:r>
        <w:t>H</w:t>
      </w:r>
      <w:r w:rsidR="001E7682" w:rsidRPr="00440E3A">
        <w:t>ospodářskou činnost</w:t>
      </w:r>
      <w:r>
        <w:t>í</w:t>
      </w:r>
      <w:r w:rsidR="001E7682" w:rsidRPr="00440E3A">
        <w:t xml:space="preserve"> je jakákoli činnost spočívající v nabízení zboží nebo služeb na trhu </w:t>
      </w:r>
      <w:r w:rsidR="00AD0E0B" w:rsidRPr="00440E3A">
        <w:t>(</w:t>
      </w:r>
      <w:r w:rsidR="004113D5" w:rsidRPr="00440E3A">
        <w:t xml:space="preserve">má </w:t>
      </w:r>
      <w:r w:rsidR="00AD0E0B" w:rsidRPr="00440E3A">
        <w:t>komerční základ</w:t>
      </w:r>
      <w:r w:rsidR="004113D5" w:rsidRPr="00440E3A">
        <w:t xml:space="preserve"> bez ohledu na ziskovost</w:t>
      </w:r>
      <w:r w:rsidR="00AD0E0B" w:rsidRPr="00440E3A">
        <w:t xml:space="preserve">). </w:t>
      </w:r>
    </w:p>
    <w:p w14:paraId="076E575D" w14:textId="77EC80EE" w:rsidR="00AD0E0B" w:rsidRPr="00440E3A" w:rsidRDefault="00AD0E0B" w:rsidP="00440E3A">
      <w:r w:rsidRPr="00440E3A">
        <w:t xml:space="preserve">Příklady </w:t>
      </w:r>
      <w:r w:rsidR="001E7682" w:rsidRPr="00440E3A">
        <w:t>hospodářských činností</w:t>
      </w:r>
      <w:r w:rsidRPr="00440E3A">
        <w:t>:</w:t>
      </w:r>
    </w:p>
    <w:p w14:paraId="09487C61" w14:textId="15392691" w:rsidR="00066444" w:rsidRPr="00440E3A" w:rsidRDefault="00066444" w:rsidP="00440E3A">
      <w:pPr>
        <w:pStyle w:val="Odstavecseseznamem"/>
        <w:numPr>
          <w:ilvl w:val="0"/>
          <w:numId w:val="42"/>
        </w:numPr>
      </w:pPr>
      <w:r w:rsidRPr="00440E3A">
        <w:t>Prodej a výroba zboží, nabídka služeb</w:t>
      </w:r>
      <w:r w:rsidR="009969BC">
        <w:t>;</w:t>
      </w:r>
    </w:p>
    <w:p w14:paraId="0D07D2CF" w14:textId="4C8949B7" w:rsidR="00066444" w:rsidRPr="00440E3A" w:rsidRDefault="001F575D" w:rsidP="00440E3A">
      <w:pPr>
        <w:pStyle w:val="Odstavecseseznamem"/>
        <w:numPr>
          <w:ilvl w:val="0"/>
          <w:numId w:val="42"/>
        </w:numPr>
      </w:pPr>
      <w:r>
        <w:t>N</w:t>
      </w:r>
      <w:r w:rsidR="00066444" w:rsidRPr="00440E3A">
        <w:t xml:space="preserve">ájmy a správa </w:t>
      </w:r>
      <w:r w:rsidR="004113D5" w:rsidRPr="00440E3A">
        <w:t>nemovitostí</w:t>
      </w:r>
      <w:r w:rsidR="00C53922">
        <w:t>,</w:t>
      </w:r>
      <w:r w:rsidR="00066444" w:rsidRPr="00440E3A">
        <w:t xml:space="preserve"> development</w:t>
      </w:r>
      <w:r w:rsidR="009969BC">
        <w:t>;</w:t>
      </w:r>
    </w:p>
    <w:p w14:paraId="37951A3F" w14:textId="49DDBE6E" w:rsidR="00066444" w:rsidRPr="00440E3A" w:rsidRDefault="00066444" w:rsidP="00440E3A">
      <w:pPr>
        <w:pStyle w:val="Odstavecseseznamem"/>
        <w:numPr>
          <w:ilvl w:val="0"/>
          <w:numId w:val="42"/>
        </w:numPr>
      </w:pPr>
      <w:r w:rsidRPr="00440E3A">
        <w:t>Nabídka zdravotnických služeb</w:t>
      </w:r>
      <w:r w:rsidR="009969BC">
        <w:t>;</w:t>
      </w:r>
      <w:r w:rsidRPr="00440E3A">
        <w:t xml:space="preserve"> </w:t>
      </w:r>
    </w:p>
    <w:p w14:paraId="193ABE1B" w14:textId="5ADF70B4" w:rsidR="00066444" w:rsidRPr="00440E3A" w:rsidRDefault="00066444" w:rsidP="00440E3A">
      <w:pPr>
        <w:pStyle w:val="Odstavecseseznamem"/>
        <w:numPr>
          <w:ilvl w:val="0"/>
          <w:numId w:val="42"/>
        </w:numPr>
      </w:pPr>
      <w:r w:rsidRPr="00440E3A">
        <w:t>Nabídka kulturních služeb</w:t>
      </w:r>
      <w:r w:rsidR="009969BC">
        <w:t>;</w:t>
      </w:r>
    </w:p>
    <w:p w14:paraId="6E33672B" w14:textId="48F39510" w:rsidR="00066444" w:rsidRPr="00440E3A" w:rsidRDefault="00066444" w:rsidP="00440E3A">
      <w:pPr>
        <w:pStyle w:val="Odstavecseseznamem"/>
        <w:numPr>
          <w:ilvl w:val="0"/>
          <w:numId w:val="42"/>
        </w:numPr>
      </w:pPr>
      <w:r w:rsidRPr="00440E3A">
        <w:t>Doprava</w:t>
      </w:r>
      <w:r w:rsidR="009969BC">
        <w:t>;</w:t>
      </w:r>
    </w:p>
    <w:p w14:paraId="2A410EF8" w14:textId="43AA6153" w:rsidR="00066444" w:rsidRPr="00440E3A" w:rsidRDefault="00066444" w:rsidP="00440E3A">
      <w:pPr>
        <w:pStyle w:val="Odstavecseseznamem"/>
        <w:numPr>
          <w:ilvl w:val="0"/>
          <w:numId w:val="42"/>
        </w:numPr>
      </w:pPr>
      <w:r w:rsidRPr="00440E3A">
        <w:t>Sportovní zápasy</w:t>
      </w:r>
      <w:r w:rsidR="009969BC">
        <w:t>.</w:t>
      </w:r>
    </w:p>
    <w:p w14:paraId="70B0E9BD" w14:textId="031BA269" w:rsidR="00066444" w:rsidRPr="00440E3A" w:rsidRDefault="00D406A7" w:rsidP="00440E3A">
      <w:r w:rsidRPr="00440E3A">
        <w:t>Hospodářskou</w:t>
      </w:r>
      <w:r w:rsidR="00066444" w:rsidRPr="00440E3A">
        <w:t xml:space="preserve"> </w:t>
      </w:r>
      <w:r w:rsidR="001E7682" w:rsidRPr="00440E3A">
        <w:t>činností</w:t>
      </w:r>
      <w:r w:rsidR="004E4AA7" w:rsidRPr="00440E3A">
        <w:t xml:space="preserve"> </w:t>
      </w:r>
      <w:r w:rsidR="00066444" w:rsidRPr="00440E3A">
        <w:t>není</w:t>
      </w:r>
      <w:r w:rsidR="004E4AA7" w:rsidRPr="00440E3A">
        <w:t xml:space="preserve"> např.</w:t>
      </w:r>
      <w:r w:rsidR="00066444" w:rsidRPr="00440E3A">
        <w:t>:</w:t>
      </w:r>
    </w:p>
    <w:p w14:paraId="7CB19858" w14:textId="7A64972C" w:rsidR="00066444" w:rsidRPr="00440E3A" w:rsidRDefault="00066444" w:rsidP="00440E3A">
      <w:pPr>
        <w:pStyle w:val="Odstavecseseznamem"/>
        <w:numPr>
          <w:ilvl w:val="0"/>
          <w:numId w:val="43"/>
        </w:numPr>
      </w:pPr>
      <w:r w:rsidRPr="00440E3A">
        <w:t>Výkon veřejné moci</w:t>
      </w:r>
      <w:r w:rsidR="009969BC">
        <w:t>;</w:t>
      </w:r>
    </w:p>
    <w:p w14:paraId="67C5DE87" w14:textId="00087404" w:rsidR="00066444" w:rsidRPr="00440E3A" w:rsidRDefault="006F46EA" w:rsidP="00440E3A">
      <w:pPr>
        <w:pStyle w:val="Odstavecseseznamem"/>
        <w:numPr>
          <w:ilvl w:val="0"/>
          <w:numId w:val="43"/>
        </w:numPr>
      </w:pPr>
      <w:r>
        <w:t>Vzdělávání zajišťované š</w:t>
      </w:r>
      <w:r w:rsidR="00066444" w:rsidRPr="00440E3A">
        <w:t>kol</w:t>
      </w:r>
      <w:r>
        <w:t>ami</w:t>
      </w:r>
      <w:r w:rsidR="00066444" w:rsidRPr="00440E3A">
        <w:t xml:space="preserve"> zařazen</w:t>
      </w:r>
      <w:r>
        <w:t>ými</w:t>
      </w:r>
      <w:r w:rsidR="00066444" w:rsidRPr="00440E3A">
        <w:t xml:space="preserve"> do veřejného </w:t>
      </w:r>
      <w:r>
        <w:t xml:space="preserve">státem organizovaného </w:t>
      </w:r>
      <w:r w:rsidR="00066444" w:rsidRPr="00440E3A">
        <w:t xml:space="preserve">vzdělávacího systému, které jsou bezplatné nebo případné školné netvoří </w:t>
      </w:r>
      <w:r>
        <w:t xml:space="preserve">převážnou část </w:t>
      </w:r>
      <w:r w:rsidR="00066444" w:rsidRPr="00440E3A">
        <w:t>příjmů</w:t>
      </w:r>
      <w:r w:rsidR="009969BC">
        <w:t>;</w:t>
      </w:r>
    </w:p>
    <w:p w14:paraId="0C68137E" w14:textId="21B94F30" w:rsidR="001E7682" w:rsidRPr="00440E3A" w:rsidRDefault="00066444" w:rsidP="00440E3A">
      <w:pPr>
        <w:pStyle w:val="Odstavecseseznamem"/>
        <w:numPr>
          <w:ilvl w:val="0"/>
          <w:numId w:val="43"/>
        </w:numPr>
      </w:pPr>
      <w:r w:rsidRPr="00440E3A">
        <w:t>Opatření zaměřená na ochranu přírody, pokud nemají vliv na ekonomickou aktivitu</w:t>
      </w:r>
      <w:r w:rsidR="00C53922">
        <w:t xml:space="preserve"> daného</w:t>
      </w:r>
      <w:r w:rsidRPr="00440E3A">
        <w:t xml:space="preserve"> subjektu</w:t>
      </w:r>
      <w:r w:rsidR="009969BC">
        <w:t>.</w:t>
      </w:r>
    </w:p>
    <w:p w14:paraId="65A87230" w14:textId="77777777" w:rsidR="009657E4" w:rsidRDefault="009657E4" w:rsidP="0098240D">
      <w:pPr>
        <w:ind w:left="360"/>
        <w:jc w:val="both"/>
      </w:pPr>
      <w:r>
        <w:lastRenderedPageBreak/>
        <w:t>Pravidla veřejné podpory umožňují, aby investiční podpora na pořízení nebo technické zhodnocení dlouhodobého majetku (infrastruktury) byla poskytnuta jako nezakládající veřejnou podporu (tedy mimo pravidla veřejné podpory). Je tomu tak tehdy, pokud má tato investice sloužit k provozování tzv. nehospodářských činností a pouze doplňkově k provozování činností hospodářských (nabízení zboží nebo služeb na relevantním trhu).</w:t>
      </w:r>
    </w:p>
    <w:p w14:paraId="0A3195CD" w14:textId="77777777" w:rsidR="009657E4" w:rsidRDefault="009657E4" w:rsidP="0098240D">
      <w:pPr>
        <w:ind w:left="360"/>
        <w:jc w:val="both"/>
      </w:pPr>
      <w:r>
        <w:t xml:space="preserve">Za vedlejší (doplňkové) využití infrastruktury se považuje takové využití pro hospodářské činnosti, pokud se jedná o činnosti, které jsou přímo spojeny s provozem infrastruktury a jsou pro něj nezbytné, nebo o činnosti, které jsou neoddělitelně spojeny s hlavním nehospodářským využitím infrastruktury. Hospodářské činnosti tak spotřebovávají stejné vstupy jako primární činnosti nehospodářské povahy, například materiál, zařízení, pracovní sílu nebo fixní kapitál. </w:t>
      </w:r>
    </w:p>
    <w:p w14:paraId="2B4C7E57" w14:textId="3B92310F" w:rsidR="009657E4" w:rsidRDefault="009657E4" w:rsidP="0098240D">
      <w:pPr>
        <w:ind w:left="360"/>
        <w:jc w:val="both"/>
      </w:pPr>
      <w:bookmarkStart w:id="3" w:name="_Hlk157689395"/>
      <w:r>
        <w:t xml:space="preserve">Kapacita přidělená každoročně na takovou činnost nepřesáhne 20 % celkové roční kapacity dané infrastruktury. </w:t>
      </w:r>
      <w:bookmarkEnd w:id="3"/>
      <w:r>
        <w:t>Tato maximální míra využití roční kapacity infrastruktury pro hospodářské činnosti musí být dodržena každý rok, a to po celou dobu životnosti infrastruktury, aby opatřením podpory nedocházelo k překompenzaci.</w:t>
      </w:r>
    </w:p>
    <w:p w14:paraId="3097912B" w14:textId="7270EA8E" w:rsidR="009657E4" w:rsidRDefault="009657E4" w:rsidP="0098240D">
      <w:pPr>
        <w:ind w:left="360"/>
        <w:jc w:val="both"/>
      </w:pPr>
      <w:r>
        <w:t xml:space="preserve">Aby mohla být míra využití roční kapacity infrastruktury pro hospodářské činnost řádně sledována, je nezbytné, aby </w:t>
      </w:r>
      <w:bookmarkStart w:id="4" w:name="_Hlk157689798"/>
      <w:r>
        <w:t>příjemce podpory zajistil důsledné vedení odděleného účetnictví hospodářských a nehospodářských činností, které jsou na infrastruktuře provozovány.</w:t>
      </w:r>
    </w:p>
    <w:bookmarkEnd w:id="4"/>
    <w:p w14:paraId="7D426944" w14:textId="0B0C8036" w:rsidR="006F46EA" w:rsidRPr="00440E3A" w:rsidRDefault="009657E4" w:rsidP="001E245C">
      <w:pPr>
        <w:ind w:left="360"/>
        <w:jc w:val="both"/>
      </w:pPr>
      <w:r>
        <w:t xml:space="preserve">Ke stanovení poměru hospodářských a nehospodářských činností provozovaných na infrastruktuře je příjemce povinen zvolit vhodnou metodu (prostorové určení, časové sledování, vymezení dle fondu pracovní doby pracovníků apod.), prostřednictvím níž bude </w:t>
      </w:r>
      <w:bookmarkStart w:id="5" w:name="_Hlk157691580"/>
      <w:r>
        <w:t>prokazovat správnost výpočtu míry využití roční kapacity infrastruktury pro dané typy činností.</w:t>
      </w:r>
      <w:bookmarkEnd w:id="5"/>
    </w:p>
    <w:p w14:paraId="1D2F5DE0" w14:textId="1CED0552" w:rsidR="00AD0E0B" w:rsidRPr="00CB2D62" w:rsidRDefault="00390A6C" w:rsidP="00CB2D62">
      <w:pPr>
        <w:pStyle w:val="Nzev"/>
        <w:numPr>
          <w:ilvl w:val="0"/>
          <w:numId w:val="45"/>
        </w:numPr>
        <w:rPr>
          <w:rFonts w:eastAsia="Times New Roman"/>
          <w:b/>
          <w:bCs/>
        </w:rPr>
      </w:pPr>
      <w:r w:rsidRPr="00CB2D62">
        <w:rPr>
          <w:rFonts w:eastAsia="Times New Roman"/>
          <w:b/>
          <w:bCs/>
        </w:rPr>
        <w:t>Narušení nebo hrozba narušení hospodářské soutěže</w:t>
      </w:r>
    </w:p>
    <w:p w14:paraId="3D3122FB" w14:textId="06A527D3" w:rsidR="00AD0E0B" w:rsidRPr="00C36F48" w:rsidRDefault="00AD0E0B" w:rsidP="0098240D">
      <w:pPr>
        <w:jc w:val="both"/>
        <w:rPr>
          <w:rFonts w:eastAsia="Times New Roman"/>
          <w:b/>
          <w:bCs/>
          <w:caps/>
          <w:color w:val="104B86"/>
        </w:rPr>
      </w:pPr>
      <w:r w:rsidRPr="00CD3620">
        <w:t>Naplnění znaku narušení hospodářské soutěže, resp. hrozby jejího narušení</w:t>
      </w:r>
      <w:r w:rsidR="000D460A">
        <w:t>,</w:t>
      </w:r>
      <w:r w:rsidRPr="00CD3620">
        <w:t xml:space="preserve"> se při poskytnutí podpory </w:t>
      </w:r>
      <w:r w:rsidR="00FB1A34">
        <w:t>podniku, který funguje na trhu otevřenému soutěži,</w:t>
      </w:r>
      <w:r w:rsidRPr="00CD3620">
        <w:t xml:space="preserve"> předpokládá. K narušení hospodářské soutěže nemusí fakticky dojít, postačuje pouhé potenciální narušení soutěže.</w:t>
      </w:r>
      <w:r w:rsidR="00A0542E">
        <w:t xml:space="preserve"> Narušení hospodářské soutěže je třeba sledovat nejen na úrovni ČR, ale i ve vztahu k celému vnitřnímu trhu EU.</w:t>
      </w:r>
      <w:r w:rsidR="006F46EA">
        <w:t xml:space="preserve"> </w:t>
      </w:r>
      <w:r w:rsidR="00066444">
        <w:t xml:space="preserve">Hospodářská soutěž nebude narušena v případech, kde není možná konkurence. Nenarušení hospodářské soutěže </w:t>
      </w:r>
      <w:r w:rsidR="005F5488">
        <w:t>musí</w:t>
      </w:r>
      <w:r w:rsidR="000D460A">
        <w:t xml:space="preserve"> </w:t>
      </w:r>
      <w:r w:rsidR="00066444">
        <w:t xml:space="preserve">žadatel o </w:t>
      </w:r>
      <w:r w:rsidR="00066444" w:rsidRPr="00D7256A">
        <w:t>podporu prokázat.</w:t>
      </w:r>
      <w:r w:rsidR="00C01513">
        <w:t xml:space="preserve"> </w:t>
      </w:r>
    </w:p>
    <w:p w14:paraId="2117D166" w14:textId="6CAA0CA8" w:rsidR="00AD0E0B" w:rsidRPr="00CB2D62" w:rsidRDefault="00390A6C" w:rsidP="00CB2D62">
      <w:pPr>
        <w:pStyle w:val="Nzev"/>
        <w:numPr>
          <w:ilvl w:val="0"/>
          <w:numId w:val="45"/>
        </w:numPr>
        <w:rPr>
          <w:rFonts w:eastAsia="Times New Roman"/>
          <w:b/>
          <w:bCs/>
          <w:caps/>
        </w:rPr>
      </w:pPr>
      <w:r w:rsidRPr="00CB2D62">
        <w:rPr>
          <w:rFonts w:eastAsia="Times New Roman"/>
          <w:b/>
          <w:bCs/>
        </w:rPr>
        <w:t>Ovlivnění obchodu mezi členskými státy</w:t>
      </w:r>
    </w:p>
    <w:p w14:paraId="4B552383" w14:textId="640BC581" w:rsidR="00FB1A34" w:rsidRDefault="00066444" w:rsidP="0098240D">
      <w:pPr>
        <w:jc w:val="both"/>
      </w:pPr>
      <w:r>
        <w:t>Pokud podpora směřuje k podniku, který funguje na trhu, který je otevřen soutěži, ovlivnění obchodu</w:t>
      </w:r>
      <w:r w:rsidR="006015BA">
        <w:t xml:space="preserve"> mezi členskými státy EU</w:t>
      </w:r>
      <w:r>
        <w:t xml:space="preserve"> se předpokládá.</w:t>
      </w:r>
      <w:r w:rsidR="00446EC5">
        <w:t xml:space="preserve"> </w:t>
      </w:r>
      <w:r w:rsidR="006015BA">
        <w:t xml:space="preserve">Pro naplnění tohoto znaku není třeba prokázat faktický dopad na obchod (obchodní výměnu) mezi členskými státy EU, postačí, že poskytnutá dotace je k ovlivnění obchodu potenciálně způsobilá. </w:t>
      </w:r>
      <w:r w:rsidR="00446EC5">
        <w:t>Neovlivnění obchodu mezi členskými státy EU musí žadatel o podporu prokázat.</w:t>
      </w:r>
      <w:r>
        <w:t xml:space="preserve"> </w:t>
      </w:r>
    </w:p>
    <w:p w14:paraId="4C08D261" w14:textId="77777777" w:rsidR="007108F6" w:rsidRDefault="0027381E" w:rsidP="007108F6">
      <w:r>
        <w:t>Hodnocení toho</w:t>
      </w:r>
      <w:r w:rsidR="003C66FA">
        <w:t>,</w:t>
      </w:r>
      <w:r>
        <w:t xml:space="preserve"> zdali dotace </w:t>
      </w:r>
      <w:r w:rsidR="00FC56B0">
        <w:t xml:space="preserve">zakládá </w:t>
      </w:r>
      <w:r>
        <w:t>veřejnou podporu či nikoli</w:t>
      </w:r>
      <w:r w:rsidR="000866E6">
        <w:t>,</w:t>
      </w:r>
      <w:r>
        <w:t xml:space="preserve"> se </w:t>
      </w:r>
      <w:r w:rsidR="003C66FA">
        <w:t>provádí s ohledem na konkrétní projekt a charakter činností</w:t>
      </w:r>
      <w:r w:rsidR="000D460A">
        <w:t>,</w:t>
      </w:r>
      <w:r w:rsidR="003C66FA">
        <w:t xml:space="preserve"> které budou na jeho základě uskutečňovány. </w:t>
      </w:r>
      <w:r w:rsidR="007108F6">
        <w:t>Komise EU ve svých výkladech poskytla návod tzv. dvoustupňového testu přeshraničního dopadu (two-tier test). Dopad na obchod nutno zkoumat ze dvou pohledů:</w:t>
      </w:r>
    </w:p>
    <w:p w14:paraId="097BA48A" w14:textId="77777777" w:rsidR="007108F6" w:rsidRDefault="007108F6" w:rsidP="007108F6">
      <w:pPr>
        <w:pStyle w:val="Odrazka1"/>
        <w:rPr>
          <w:sz w:val="22"/>
          <w:szCs w:val="22"/>
        </w:rPr>
      </w:pPr>
      <w:r w:rsidRPr="002D4557">
        <w:rPr>
          <w:sz w:val="22"/>
          <w:szCs w:val="22"/>
        </w:rPr>
        <w:lastRenderedPageBreak/>
        <w:t>pohled zákazníků</w:t>
      </w:r>
      <w:r>
        <w:rPr>
          <w:sz w:val="22"/>
          <w:szCs w:val="22"/>
        </w:rPr>
        <w:t xml:space="preserve">, kdy </w:t>
      </w:r>
      <w:r w:rsidRPr="002D4557">
        <w:rPr>
          <w:sz w:val="22"/>
          <w:szCs w:val="22"/>
        </w:rPr>
        <w:t>příjemce podpory dodává zboží nebo poskytuje služby v omezené oblasti v rámci členského státu a je nepravděpodobné, že by přilákal zákazníky z jiného členského státu</w:t>
      </w:r>
      <w:r>
        <w:rPr>
          <w:sz w:val="22"/>
          <w:szCs w:val="22"/>
        </w:rPr>
        <w:t>, a zároveň</w:t>
      </w:r>
    </w:p>
    <w:p w14:paraId="0E80CBEC" w14:textId="2A475562" w:rsidR="006F46EA" w:rsidRPr="00F463F7" w:rsidRDefault="007108F6" w:rsidP="0098240D">
      <w:pPr>
        <w:pStyle w:val="Odrazka1"/>
        <w:rPr>
          <w:sz w:val="22"/>
          <w:szCs w:val="22"/>
        </w:rPr>
      </w:pPr>
      <w:r>
        <w:rPr>
          <w:sz w:val="22"/>
          <w:szCs w:val="22"/>
        </w:rPr>
        <w:t xml:space="preserve">pohled dodavatelů zboží/poskytovatelů služeb, kdy </w:t>
      </w:r>
      <w:r w:rsidRPr="002D4557">
        <w:rPr>
          <w:sz w:val="22"/>
          <w:szCs w:val="22"/>
        </w:rPr>
        <w:t xml:space="preserve">nelze předpokládat, že </w:t>
      </w:r>
      <w:r>
        <w:rPr>
          <w:sz w:val="22"/>
          <w:szCs w:val="22"/>
        </w:rPr>
        <w:t xml:space="preserve">poskytnutá podpora </w:t>
      </w:r>
      <w:r w:rsidRPr="002D4557">
        <w:rPr>
          <w:sz w:val="22"/>
          <w:szCs w:val="22"/>
        </w:rPr>
        <w:t>bude mít více než okrajový vliv na podmínky přeshraničních investic nebo usazování</w:t>
      </w:r>
      <w:r>
        <w:rPr>
          <w:sz w:val="22"/>
          <w:szCs w:val="22"/>
        </w:rPr>
        <w:t xml:space="preserve">; zde je zapotřebí disponovat důkazy v rámci fungování příslušného sektoru daného státu. </w:t>
      </w:r>
    </w:p>
    <w:p w14:paraId="52D32D25" w14:textId="4CD7D12F" w:rsidR="008E0388" w:rsidRDefault="0027381E" w:rsidP="0098240D">
      <w:pPr>
        <w:jc w:val="both"/>
      </w:pPr>
      <w:r>
        <w:t>V případě, že bude vyhodnoceno, že dotace v daném případě nenaplňuje kumulativně všechny znaky veřejné podpory ve smyslu článku 107 odst. 1 Smlouvy o fungování EU, může být dotace poskytnuta jako podpora nezakládající veřejnou podporu.</w:t>
      </w:r>
      <w:r w:rsidR="00A8182A">
        <w:t xml:space="preserve"> </w:t>
      </w:r>
    </w:p>
    <w:p w14:paraId="3506C7CD" w14:textId="3D13C1C0" w:rsidR="008E0388" w:rsidRPr="00952E15" w:rsidRDefault="008E0388" w:rsidP="00870AF2">
      <w:pPr>
        <w:pStyle w:val="Nadpis1"/>
      </w:pPr>
      <w:bookmarkStart w:id="6" w:name="_Toc158099294"/>
      <w:r w:rsidRPr="00952E15">
        <w:t>Kritéria pro stanovení, zda financování projektu představuje veřejnou podporu či nikoli</w:t>
      </w:r>
      <w:bookmarkEnd w:id="6"/>
      <w:r w:rsidRPr="00952E15">
        <w:t xml:space="preserve"> </w:t>
      </w:r>
    </w:p>
    <w:p w14:paraId="0511DF8C" w14:textId="1D568227" w:rsidR="008E0388" w:rsidRDefault="008E0388" w:rsidP="0098240D">
      <w:pPr>
        <w:jc w:val="both"/>
      </w:pPr>
      <w:r>
        <w:t>Tato kritéria slouží pro základní orientaci v posuzování otázky možné veřejné podpory</w:t>
      </w:r>
      <w:r w:rsidR="006C3A36">
        <w:t>.</w:t>
      </w:r>
      <w:r>
        <w:t xml:space="preserve"> </w:t>
      </w:r>
      <w:r w:rsidR="006C3A36">
        <w:t>Každý žadatel musí</w:t>
      </w:r>
      <w:r w:rsidR="005725DD">
        <w:t xml:space="preserve"> posouzení naplnění znaků veřejné podpory</w:t>
      </w:r>
      <w:r w:rsidR="006C3A36">
        <w:t xml:space="preserve"> přizpůsobit své konkrétní situaci</w:t>
      </w:r>
      <w:r>
        <w:t>.</w:t>
      </w:r>
    </w:p>
    <w:p w14:paraId="2759406C" w14:textId="32A4DD13" w:rsidR="00D7256A" w:rsidRPr="009C6DED" w:rsidRDefault="007F1814" w:rsidP="00CB2D62">
      <w:pPr>
        <w:pStyle w:val="Nzev"/>
        <w:rPr>
          <w:rFonts w:eastAsia="Times New Roman"/>
        </w:rPr>
      </w:pPr>
      <w:r w:rsidRPr="007F1814">
        <w:rPr>
          <w:rFonts w:eastAsia="Times New Roman" w:cstheme="minorHAnsi"/>
          <w:b/>
          <w:bCs/>
        </w:rPr>
        <w:t>→</w:t>
      </w:r>
      <w:r>
        <w:rPr>
          <w:rFonts w:eastAsia="Times New Roman"/>
        </w:rPr>
        <w:t xml:space="preserve"> </w:t>
      </w:r>
      <w:r w:rsidR="008E0388" w:rsidRPr="009C6DED">
        <w:rPr>
          <w:rFonts w:eastAsia="Times New Roman"/>
        </w:rPr>
        <w:t xml:space="preserve">Budova/infrastruktura bude/je předmětem nájmu nebo využívána k </w:t>
      </w:r>
      <w:r w:rsidR="007108F6">
        <w:rPr>
          <w:rFonts w:eastAsia="Times New Roman"/>
        </w:rPr>
        <w:t>hospodářské</w:t>
      </w:r>
      <w:r w:rsidR="008E0388" w:rsidRPr="009C6DED">
        <w:rPr>
          <w:rFonts w:eastAsia="Times New Roman"/>
        </w:rPr>
        <w:t xml:space="preserve"> činnosti</w:t>
      </w:r>
      <w:r w:rsidR="00A76E34">
        <w:rPr>
          <w:rFonts w:eastAsia="Times New Roman"/>
        </w:rPr>
        <w:t xml:space="preserve"> </w:t>
      </w:r>
      <w:r w:rsidR="008E0388" w:rsidRPr="009C6DED">
        <w:rPr>
          <w:rFonts w:eastAsia="Times New Roman"/>
        </w:rPr>
        <w:t>ano/ne</w:t>
      </w:r>
    </w:p>
    <w:p w14:paraId="64B02D44" w14:textId="489FD137" w:rsidR="007108F6" w:rsidRDefault="008E0388" w:rsidP="0098240D">
      <w:pPr>
        <w:jc w:val="both"/>
      </w:pPr>
      <w:r>
        <w:t xml:space="preserve">Pokud je nájem menší než nebo roven 20 % plochy, nebo je </w:t>
      </w:r>
      <w:r w:rsidR="007108F6">
        <w:t xml:space="preserve">hospodářská </w:t>
      </w:r>
      <w:r>
        <w:t>činnost provozována na ploše menší než nebo rovné 20 % z celkové plochy budovy, či kapacity infrastruktury, nejedná se o veřejnou podporu</w:t>
      </w:r>
      <w:r w:rsidR="00FD002C">
        <w:t>, za předpokladu, že zbytek (nejméně 80 %) tvoří činnosti</w:t>
      </w:r>
      <w:r w:rsidR="007108F6">
        <w:t xml:space="preserve"> nehospodářské</w:t>
      </w:r>
      <w:r>
        <w:t xml:space="preserve">. </w:t>
      </w:r>
    </w:p>
    <w:p w14:paraId="35E76B77" w14:textId="19021D75" w:rsidR="00D7256A" w:rsidRPr="009C6DED" w:rsidRDefault="007F1814" w:rsidP="00CB2D62">
      <w:pPr>
        <w:pStyle w:val="Nzev"/>
        <w:rPr>
          <w:rFonts w:eastAsia="Times New Roman"/>
        </w:rPr>
      </w:pPr>
      <w:r w:rsidRPr="007F1814">
        <w:rPr>
          <w:rFonts w:eastAsia="Times New Roman" w:cstheme="minorHAnsi"/>
          <w:b/>
          <w:bCs/>
        </w:rPr>
        <w:t>→</w:t>
      </w:r>
      <w:r>
        <w:rPr>
          <w:rFonts w:eastAsia="Times New Roman" w:cstheme="minorHAnsi"/>
          <w:b/>
          <w:bCs/>
        </w:rPr>
        <w:t xml:space="preserve"> </w:t>
      </w:r>
      <w:r w:rsidR="008E0388" w:rsidRPr="009C6DED">
        <w:rPr>
          <w:rFonts w:eastAsia="Times New Roman"/>
        </w:rPr>
        <w:t>Pokud je nájem větší než 20 % pak je třeba vzít do úvahy podmínky níže</w:t>
      </w:r>
    </w:p>
    <w:p w14:paraId="7EDF6545" w14:textId="7D3F71B9" w:rsidR="008E0388" w:rsidRDefault="008E0388" w:rsidP="0098240D">
      <w:pPr>
        <w:jc w:val="both"/>
      </w:pPr>
      <w:r>
        <w:t xml:space="preserve">Pokud je budova, či infrastruktura předmětem nájmu, tak se většinou jedná o veřejnou podporu. </w:t>
      </w:r>
      <w:r w:rsidR="00793062">
        <w:t xml:space="preserve">Je tomu tak například v případě nájmů </w:t>
      </w:r>
      <w:r>
        <w:t xml:space="preserve">100 % vlastněným </w:t>
      </w:r>
      <w:r w:rsidR="007F1814">
        <w:t>společnostem</w:t>
      </w:r>
      <w:r>
        <w:t xml:space="preserve"> typu technické služby města, správa bytového fondu, firmám poskytujícím zpoplatněné služby, zdravotní</w:t>
      </w:r>
      <w:r w:rsidR="00793062">
        <w:t>m</w:t>
      </w:r>
      <w:r>
        <w:t xml:space="preserve"> středisk</w:t>
      </w:r>
      <w:r w:rsidR="00793062">
        <w:t>ům</w:t>
      </w:r>
      <w:r>
        <w:t xml:space="preserve"> a nemocnic</w:t>
      </w:r>
      <w:r w:rsidR="00793062">
        <w:t>ím</w:t>
      </w:r>
      <w:r w:rsidR="007108F6">
        <w:t>.</w:t>
      </w:r>
      <w:r>
        <w:t xml:space="preserve"> </w:t>
      </w:r>
    </w:p>
    <w:p w14:paraId="478B25BD" w14:textId="076069AE" w:rsidR="00D7256A" w:rsidRPr="009C6DED" w:rsidRDefault="007F1814" w:rsidP="00CB2D62">
      <w:pPr>
        <w:pStyle w:val="Nzev"/>
        <w:rPr>
          <w:rFonts w:eastAsia="Times New Roman"/>
        </w:rPr>
      </w:pPr>
      <w:r w:rsidRPr="007F1814">
        <w:rPr>
          <w:rFonts w:eastAsia="Times New Roman" w:cstheme="minorHAnsi"/>
          <w:b/>
          <w:bCs/>
        </w:rPr>
        <w:t>→</w:t>
      </w:r>
      <w:r>
        <w:rPr>
          <w:rFonts w:eastAsia="Times New Roman" w:cstheme="minorHAnsi"/>
          <w:b/>
          <w:bCs/>
        </w:rPr>
        <w:t xml:space="preserve"> </w:t>
      </w:r>
      <w:r w:rsidR="008E0388" w:rsidRPr="009C6DED">
        <w:rPr>
          <w:rFonts w:eastAsia="Times New Roman"/>
        </w:rPr>
        <w:t xml:space="preserve">Budova, či infrastruktura je využívána k </w:t>
      </w:r>
      <w:r w:rsidR="0091421D">
        <w:rPr>
          <w:rFonts w:eastAsia="Times New Roman"/>
        </w:rPr>
        <w:t>hospodářské</w:t>
      </w:r>
      <w:r w:rsidR="008E0388" w:rsidRPr="009C6DED">
        <w:rPr>
          <w:rFonts w:eastAsia="Times New Roman"/>
        </w:rPr>
        <w:t xml:space="preserve"> činnosti, i když není předmětem nájmu ano/ne</w:t>
      </w:r>
    </w:p>
    <w:p w14:paraId="518F7880" w14:textId="73E251C7" w:rsidR="008E0388" w:rsidRDefault="00D7256A" w:rsidP="0098240D">
      <w:pPr>
        <w:jc w:val="both"/>
      </w:pPr>
      <w:r>
        <w:t xml:space="preserve">Pokud je budova využívaná k </w:t>
      </w:r>
      <w:r w:rsidR="0091421D">
        <w:t>hospodářské</w:t>
      </w:r>
      <w:r>
        <w:t xml:space="preserve"> činnosti</w:t>
      </w:r>
      <w:r w:rsidR="0091421D">
        <w:t>,</w:t>
      </w:r>
      <w:r>
        <w:t xml:space="preserve"> jedná se o veřejnou podporu. </w:t>
      </w:r>
      <w:r w:rsidR="008E0388">
        <w:t xml:space="preserve">Typicky se jedná například o vysokoškolské koleje, sídlo příspěvkové organizace, která má budovu v užívání a vykonává činnost, kterou lze považovat za </w:t>
      </w:r>
      <w:r w:rsidR="006D1C44">
        <w:t>hospodářskou</w:t>
      </w:r>
      <w:r w:rsidR="008E0388">
        <w:t xml:space="preserve">, domovy dětí a mládeže provozované i jako ubytovny nebo hostely a další. Pokud </w:t>
      </w:r>
      <w:r w:rsidR="006D1C44">
        <w:t xml:space="preserve">hospodářská </w:t>
      </w:r>
      <w:r w:rsidR="008E0388">
        <w:t>činnost související s předmětem podpory je nižší než 20 %</w:t>
      </w:r>
      <w:r w:rsidR="007F1814">
        <w:t xml:space="preserve"> </w:t>
      </w:r>
      <w:r w:rsidR="008E0388">
        <w:t xml:space="preserve">kapacity, o veřejnou podporu se </w:t>
      </w:r>
      <w:r w:rsidR="0091421D">
        <w:t xml:space="preserve">zpravidla </w:t>
      </w:r>
      <w:r w:rsidR="008E0388">
        <w:t>nejedná (například školní jídelna vydávající méně než 20 % obědů klientům mimo školu).</w:t>
      </w:r>
    </w:p>
    <w:p w14:paraId="337D51E1" w14:textId="2DE51945" w:rsidR="00085318" w:rsidRPr="00A76E34" w:rsidRDefault="008E0388" w:rsidP="00A76E34">
      <w:pPr>
        <w:pStyle w:val="Nzev"/>
        <w:rPr>
          <w:rStyle w:val="Zdraznnintenzivn"/>
          <w:i w:val="0"/>
          <w:iCs w:val="0"/>
          <w:color w:val="1F497D" w:themeColor="text2"/>
        </w:rPr>
      </w:pPr>
      <w:r w:rsidRPr="00A76E34">
        <w:rPr>
          <w:rStyle w:val="Zdraznnintenzivn"/>
          <w:i w:val="0"/>
          <w:iCs w:val="0"/>
          <w:color w:val="1F497D" w:themeColor="text2"/>
        </w:rPr>
        <w:t>Vyhodnocení</w:t>
      </w:r>
    </w:p>
    <w:p w14:paraId="30064B9B" w14:textId="1436E78F" w:rsidR="008E0388" w:rsidRDefault="008E0388" w:rsidP="0098240D">
      <w:pPr>
        <w:jc w:val="both"/>
      </w:pPr>
      <w:r>
        <w:t xml:space="preserve">Odůvodnění, zda projekt naplňuje nebo nenaplňuje podmínky veřejné podpory, uveďte do </w:t>
      </w:r>
      <w:r w:rsidR="00AE345E">
        <w:t>Formulář</w:t>
      </w:r>
      <w:r w:rsidR="00B41408">
        <w:t>e</w:t>
      </w:r>
      <w:r w:rsidR="00AE345E">
        <w:t xml:space="preserve"> ke stanovení režimu veřejné podpory</w:t>
      </w:r>
      <w:r w:rsidR="00D44DC2">
        <w:t xml:space="preserve">, který je přílohou Pravidel pro žadatele a </w:t>
      </w:r>
      <w:r w:rsidR="00B41408">
        <w:t>příjemce</w:t>
      </w:r>
      <w:r w:rsidR="00D44DC2">
        <w:t>.</w:t>
      </w:r>
    </w:p>
    <w:p w14:paraId="1EFD46EE" w14:textId="1FD69510" w:rsidR="008E0388" w:rsidRPr="00ED13F9" w:rsidRDefault="008E0388" w:rsidP="00ED13F9">
      <w:pPr>
        <w:pStyle w:val="Nzev"/>
        <w:rPr>
          <w:rStyle w:val="Zdraznnintenzivn"/>
          <w:i w:val="0"/>
          <w:iCs w:val="0"/>
          <w:color w:val="1F497D" w:themeColor="text2"/>
        </w:rPr>
      </w:pPr>
      <w:r w:rsidRPr="00ED13F9">
        <w:rPr>
          <w:rStyle w:val="Zdraznnintenzivn"/>
          <w:i w:val="0"/>
          <w:iCs w:val="0"/>
          <w:color w:val="1F497D" w:themeColor="text2"/>
        </w:rPr>
        <w:t>Další doplňující kritéria posouzení.</w:t>
      </w:r>
    </w:p>
    <w:p w14:paraId="17A5B777" w14:textId="07DE7BDD" w:rsidR="00060106" w:rsidRDefault="008E0388" w:rsidP="0098240D">
      <w:pPr>
        <w:jc w:val="both"/>
      </w:pPr>
      <w:r>
        <w:t xml:space="preserve">V případě církví a církevních právnických osob je možné mimo rámec veřejné podpory podpořit projekty realizované na budovách využívaných </w:t>
      </w:r>
      <w:r w:rsidR="008C27DF">
        <w:t xml:space="preserve">výhradně </w:t>
      </w:r>
      <w:r>
        <w:t>k pastorační činnosti.</w:t>
      </w:r>
    </w:p>
    <w:p w14:paraId="5DA8D83D" w14:textId="27C3F5D9" w:rsidR="00060106" w:rsidRDefault="008E0388" w:rsidP="0098240D">
      <w:pPr>
        <w:jc w:val="both"/>
      </w:pPr>
      <w:r>
        <w:lastRenderedPageBreak/>
        <w:t>V případě soukromých škol je možné projekt podpořit mimo rámec veřejné podpory, pokud je škola převážně financována z veřejných zdrojů</w:t>
      </w:r>
      <w:r w:rsidR="005F5488">
        <w:t xml:space="preserve"> a zařazená do veřejného vzdělávacího systému</w:t>
      </w:r>
      <w:r w:rsidR="000929B4">
        <w:t xml:space="preserve"> podle školského zákona</w:t>
      </w:r>
      <w:r>
        <w:t>.</w:t>
      </w:r>
    </w:p>
    <w:p w14:paraId="0E2F5688" w14:textId="7D3E1465" w:rsidR="00060106" w:rsidRDefault="008E0388" w:rsidP="0098240D">
      <w:pPr>
        <w:jc w:val="both"/>
      </w:pPr>
      <w:r>
        <w:t>V případě vysokých škol a veřejných výzkumných institucí je možné mimo rámec veřejné podpory podpořit pouze projekty, které jsou spojené s hlavními n</w:t>
      </w:r>
      <w:r w:rsidR="0091421D">
        <w:t>ehospodářskými</w:t>
      </w:r>
      <w:r>
        <w:t xml:space="preserve"> činnostmi těchto žadatelů (využití předmětu podpory pro hlavní ne</w:t>
      </w:r>
      <w:r w:rsidR="0091421D">
        <w:t>hospodářské</w:t>
      </w:r>
      <w:r>
        <w:t xml:space="preserve"> činnosti minimálně z 80 %).</w:t>
      </w:r>
    </w:p>
    <w:p w14:paraId="1CFEEEDB" w14:textId="35C78A07" w:rsidR="00060106" w:rsidRDefault="008E0388" w:rsidP="0098240D">
      <w:pPr>
        <w:jc w:val="both"/>
      </w:pPr>
      <w:r>
        <w:t>V případě budov, ve kterých je provozováno zájmové vzdělávání</w:t>
      </w:r>
      <w:r w:rsidR="0091421D">
        <w:t>,</w:t>
      </w:r>
      <w:r>
        <w:t xml:space="preserve"> je možné podporu poskytnout mi</w:t>
      </w:r>
      <w:r w:rsidR="0091421D">
        <w:t>m</w:t>
      </w:r>
      <w:r>
        <w:t xml:space="preserve">o rámec veřejné podpory, jedná-li se o vzdělávání dle školského zákona provozované veřejným sektorem. </w:t>
      </w:r>
    </w:p>
    <w:p w14:paraId="2E92246A" w14:textId="7FE7C8A0" w:rsidR="008E0388" w:rsidRDefault="008E0388" w:rsidP="0098240D">
      <w:pPr>
        <w:jc w:val="both"/>
      </w:pPr>
      <w:r>
        <w:t>Zdravotn</w:t>
      </w:r>
      <w:r w:rsidR="0091421D">
        <w:t>í nebo sociální</w:t>
      </w:r>
      <w:r>
        <w:t xml:space="preserve"> služby jsou považovány za </w:t>
      </w:r>
      <w:r w:rsidR="0091421D">
        <w:t>hospodářskou</w:t>
      </w:r>
      <w:r>
        <w:t xml:space="preserve"> činnost, předpokládáme, že bude převážně využita podpora v režimu závazku veřejné služby</w:t>
      </w:r>
      <w:r w:rsidR="00524BD8">
        <w:t xml:space="preserve"> (služby obecného hospodářského zájmu)</w:t>
      </w:r>
      <w:r>
        <w:t xml:space="preserve">. </w:t>
      </w:r>
    </w:p>
    <w:p w14:paraId="2695D101" w14:textId="77777777" w:rsidR="0091421D" w:rsidRDefault="0091421D">
      <w:pPr>
        <w:rPr>
          <w:rFonts w:eastAsiaTheme="majorEastAsia" w:cstheme="majorBidi"/>
          <w:b/>
          <w:bCs/>
          <w:color w:val="365F91" w:themeColor="accent1" w:themeShade="BF"/>
          <w:sz w:val="28"/>
          <w:szCs w:val="28"/>
        </w:rPr>
      </w:pPr>
      <w:r>
        <w:br w:type="page"/>
      </w:r>
    </w:p>
    <w:p w14:paraId="6B1D1DDF" w14:textId="644ED293" w:rsidR="00440E3A" w:rsidRDefault="00187776" w:rsidP="00870AF2">
      <w:pPr>
        <w:pStyle w:val="Nadpis1"/>
      </w:pPr>
      <w:bookmarkStart w:id="7" w:name="_Toc158099295"/>
      <w:r>
        <w:lastRenderedPageBreak/>
        <w:t>Poskytování veřejné podpory u projektů realizovaných v rámci výz</w:t>
      </w:r>
      <w:r w:rsidR="005C6291">
        <w:t>ev</w:t>
      </w:r>
      <w:r>
        <w:t xml:space="preserve"> 4.1.3</w:t>
      </w:r>
      <w:bookmarkEnd w:id="7"/>
      <w:r>
        <w:t xml:space="preserve"> </w:t>
      </w:r>
    </w:p>
    <w:p w14:paraId="231DD22A" w14:textId="172F48E1" w:rsidR="00440E3A" w:rsidRPr="002C3B8D" w:rsidRDefault="00440E3A" w:rsidP="00ED13F9">
      <w:pPr>
        <w:pStyle w:val="Nzev"/>
        <w:rPr>
          <w:b/>
          <w:bCs/>
          <w:sz w:val="24"/>
          <w:szCs w:val="26"/>
        </w:rPr>
      </w:pPr>
      <w:r w:rsidRPr="004B1E29">
        <w:t>Obecná ustanovení</w:t>
      </w:r>
    </w:p>
    <w:p w14:paraId="4A145266" w14:textId="5691F52D" w:rsidR="00440E3A" w:rsidRDefault="00440E3A" w:rsidP="0098240D">
      <w:pPr>
        <w:jc w:val="both"/>
      </w:pPr>
      <w:r w:rsidRPr="004B1E29">
        <w:t xml:space="preserve">Žadatel zvolí některý z následujících </w:t>
      </w:r>
      <w:r w:rsidR="00CB61B4">
        <w:t>způsobů</w:t>
      </w:r>
      <w:r w:rsidR="00CB61B4" w:rsidRPr="004B1E29">
        <w:t xml:space="preserve"> </w:t>
      </w:r>
      <w:r w:rsidRPr="004B1E29">
        <w:t>financování projektu</w:t>
      </w:r>
      <w:r>
        <w:t xml:space="preserve"> s přihlédnutím ke svým potřebám a investičním záměrům</w:t>
      </w:r>
      <w:r w:rsidRPr="004B1E29">
        <w:t>.</w:t>
      </w:r>
    </w:p>
    <w:p w14:paraId="7B33D060" w14:textId="2E79241D" w:rsidR="00440E3A" w:rsidRDefault="00440E3A" w:rsidP="0098240D">
      <w:pPr>
        <w:jc w:val="both"/>
      </w:pPr>
      <w:r>
        <w:t xml:space="preserve">Stanovené </w:t>
      </w:r>
      <w:r w:rsidR="00CB61B4">
        <w:t xml:space="preserve">způsoby financování </w:t>
      </w:r>
      <w:r>
        <w:t xml:space="preserve">lze vzájemně kombinovat. Při volbě příslušného </w:t>
      </w:r>
      <w:r w:rsidR="00EC5C1F">
        <w:t xml:space="preserve">způsobu financování </w:t>
      </w:r>
      <w:r>
        <w:t xml:space="preserve">je třeba brát v potaz omezení </w:t>
      </w:r>
      <w:r w:rsidR="00EC5C1F">
        <w:t xml:space="preserve">výše </w:t>
      </w:r>
      <w:r>
        <w:t xml:space="preserve">podpor stanovených níže uvedenými předpisy EU, kumulaci podpor a další </w:t>
      </w:r>
      <w:r w:rsidR="00EC5C1F">
        <w:t xml:space="preserve">předepsané </w:t>
      </w:r>
      <w:r>
        <w:t>podmínky.</w:t>
      </w:r>
    </w:p>
    <w:p w14:paraId="0DCDF16F" w14:textId="7808B597" w:rsidR="00440E3A" w:rsidRDefault="00440E3A" w:rsidP="0098240D">
      <w:pPr>
        <w:jc w:val="both"/>
      </w:pPr>
      <w:r>
        <w:t>Na podporu podle tohoto programu není právní nárok.</w:t>
      </w:r>
      <w:r w:rsidR="004F59B2">
        <w:t xml:space="preserve"> Konkrétní podmínky poskytnutí dotace </w:t>
      </w:r>
      <w:r w:rsidR="001B1502">
        <w:t xml:space="preserve">budou </w:t>
      </w:r>
      <w:r w:rsidR="004F59B2">
        <w:t>stanoveny v rozhodnutí o poskytnutí dotace.</w:t>
      </w:r>
    </w:p>
    <w:p w14:paraId="7EDFF1D9" w14:textId="416B4312" w:rsidR="00440E3A" w:rsidRDefault="00440E3A" w:rsidP="0098240D">
      <w:pPr>
        <w:jc w:val="both"/>
      </w:pPr>
      <w:r>
        <w:t>Žadatel bere na vědomí, že poskytovatel je před poskytnutím dotace</w:t>
      </w:r>
      <w:r w:rsidR="0091421D">
        <w:t>,</w:t>
      </w:r>
      <w:r>
        <w:t xml:space="preserve"> a i poté</w:t>
      </w:r>
      <w:r w:rsidR="0091421D">
        <w:t>,</w:t>
      </w:r>
      <w:r>
        <w:t xml:space="preserve"> povinen kontrolovat naplnění podmínek níže uvedených předpisů EU i předpisů českého právního řádu. Každý projekt bude poskytovatelem dotace posuzován individuálně.</w:t>
      </w:r>
      <w:r w:rsidR="00BC1192">
        <w:t xml:space="preserve"> Vyhodnocení naplnění či nenaplnění znaků veřejné podpory žadatelem poskytovatele nezavazuje a může se</w:t>
      </w:r>
      <w:r w:rsidR="00FA47C9">
        <w:t xml:space="preserve"> v konečném důsledku </w:t>
      </w:r>
      <w:r w:rsidR="00BC1192">
        <w:t xml:space="preserve">lišit. </w:t>
      </w:r>
    </w:p>
    <w:p w14:paraId="704E206B" w14:textId="2CAB3DA8" w:rsidR="00440E3A" w:rsidRDefault="00440E3A" w:rsidP="0098240D">
      <w:pPr>
        <w:jc w:val="both"/>
      </w:pPr>
      <w:r>
        <w:t xml:space="preserve">Žadatel bere na vědomí, že v případě nesprávné aplikace příslušných předpisů dojde k uložení povinnosti navrátit poskytnutou podporu. </w:t>
      </w:r>
    </w:p>
    <w:p w14:paraId="4126F65F" w14:textId="040AD450" w:rsidR="00440E3A" w:rsidRPr="00870AF2" w:rsidRDefault="00870AF2" w:rsidP="00870AF2">
      <w:pPr>
        <w:pStyle w:val="Nadpis2"/>
      </w:pPr>
      <w:bookmarkStart w:id="8" w:name="_Toc158099296"/>
      <w:r w:rsidRPr="00870AF2">
        <w:t>Podmínky a postup pro poskytnutí podpory de minimis</w:t>
      </w:r>
      <w:bookmarkEnd w:id="8"/>
      <w:r w:rsidRPr="00870AF2">
        <w:t xml:space="preserve"> </w:t>
      </w:r>
    </w:p>
    <w:p w14:paraId="702DBE0F" w14:textId="6B10E423" w:rsidR="00440E3A" w:rsidRPr="00CB2D62" w:rsidRDefault="00440E3A" w:rsidP="00CB2D62">
      <w:pPr>
        <w:pStyle w:val="Nzev"/>
        <w:rPr>
          <w:rStyle w:val="Zdraznn"/>
        </w:rPr>
      </w:pPr>
      <w:r w:rsidRPr="00CB2D62">
        <w:rPr>
          <w:rStyle w:val="Zdraznn"/>
        </w:rPr>
        <w:t xml:space="preserve">Podmínky </w:t>
      </w:r>
    </w:p>
    <w:p w14:paraId="25E14A60" w14:textId="36F48CD5" w:rsidR="00440E3A" w:rsidRPr="00C36F48" w:rsidRDefault="00440E3A" w:rsidP="0098240D">
      <w:pPr>
        <w:jc w:val="both"/>
      </w:pPr>
      <w:r w:rsidRPr="00C36F48">
        <w:t>Výše podpory nepřesáhne</w:t>
      </w:r>
      <w:r w:rsidR="006B1517">
        <w:t xml:space="preserve"> p</w:t>
      </w:r>
      <w:r w:rsidR="006B1517" w:rsidRPr="00A95040">
        <w:rPr>
          <w:rStyle w:val="cf01"/>
          <w:rFonts w:asciiTheme="minorHAnsi" w:hAnsiTheme="minorHAnsi" w:cstheme="minorHAnsi"/>
          <w:i w:val="0"/>
          <w:iCs w:val="0"/>
          <w:sz w:val="22"/>
          <w:szCs w:val="22"/>
        </w:rPr>
        <w:t>o dobu přechodného období, tj. nejdéle do 30.6.2024</w:t>
      </w:r>
      <w:r w:rsidR="006B1517">
        <w:t xml:space="preserve"> </w:t>
      </w:r>
      <w:r w:rsidRPr="00C36F48">
        <w:t>pro jeden podnik</w:t>
      </w:r>
      <w:r w:rsidR="001E563B" w:rsidRPr="004F59B2">
        <w:rPr>
          <w:vertAlign w:val="superscript"/>
        </w:rPr>
        <w:footnoteReference w:id="3"/>
      </w:r>
      <w:r w:rsidRPr="00C36F48">
        <w:t xml:space="preserve"> (čl. 2 odst. 1 Nařízení Komise (EU) č. 1407/2013 č. 1407/2013 ze dne 18. 12. 2013, o použití článků 107 a 108 Smlouvy o fungování Evropské unie na podporu de minimis, Úř. věst.  L 352, 24. 12. 2013 ve znění pozdějších předpisů)</w:t>
      </w:r>
      <w:r w:rsidRPr="004F59B2">
        <w:rPr>
          <w:vertAlign w:val="superscript"/>
        </w:rPr>
        <w:t xml:space="preserve"> </w:t>
      </w:r>
      <w:r w:rsidRPr="00C36F48">
        <w:t>částku 200 000 EUR, a to za tři po sobě jdoucí účetní období (kalendářní nebo hospodářský rok).</w:t>
      </w:r>
      <w:r w:rsidR="00B215CD">
        <w:t>Po uplynutí přechodného období nepřesáhne výše podpory</w:t>
      </w:r>
      <w:r w:rsidR="00926695">
        <w:t xml:space="preserve"> pro jeden podnik (</w:t>
      </w:r>
      <w:r w:rsidR="00926695" w:rsidRPr="00C36F48">
        <w:t xml:space="preserve">čl. 2 odst. </w:t>
      </w:r>
      <w:r w:rsidR="00926695">
        <w:t xml:space="preserve">2 </w:t>
      </w:r>
      <w:r w:rsidR="00926695" w:rsidRPr="00A95040">
        <w:rPr>
          <w:rStyle w:val="cf01"/>
          <w:rFonts w:asciiTheme="minorHAnsi" w:hAnsiTheme="minorHAnsi" w:cstheme="minorHAnsi"/>
          <w:i w:val="0"/>
          <w:iCs w:val="0"/>
          <w:sz w:val="22"/>
          <w:szCs w:val="22"/>
        </w:rPr>
        <w:t>Nařízení Komise (EU) 2023/2831 ze dne 13. prosince 2023 o použití článků 107 a 108 Smlouvy o fungování Evropské unie na podporu de minimis, Úř. věst. L 15.12.2023</w:t>
      </w:r>
      <w:r w:rsidR="00926695">
        <w:rPr>
          <w:rStyle w:val="cf01"/>
          <w:rFonts w:asciiTheme="minorHAnsi" w:hAnsiTheme="minorHAnsi" w:cstheme="minorHAnsi"/>
          <w:i w:val="0"/>
          <w:iCs w:val="0"/>
          <w:sz w:val="22"/>
          <w:szCs w:val="22"/>
        </w:rPr>
        <w:t>)</w:t>
      </w:r>
      <w:r w:rsidR="00B215CD">
        <w:t xml:space="preserve"> částku 300 000 EUR, a to za příslušné tříleté období počínaje dnem poskytnutí podpory de minimis podle dané výzvy.</w:t>
      </w:r>
    </w:p>
    <w:p w14:paraId="4EEF0157" w14:textId="7DB0855F" w:rsidR="00440E3A" w:rsidRPr="00C36F48" w:rsidRDefault="00440E3A" w:rsidP="0098240D">
      <w:pPr>
        <w:jc w:val="both"/>
      </w:pPr>
      <w:r w:rsidRPr="00C36F48">
        <w:t>Podpora bude považována za poskytnutou dnem nabytí právní moci rozhodnutí o dotaci (částka podpory v korunách bude určena na základě přepočtu kurzem Evropské centrální banky k datu nabytí právní moci rozhodnutí o dotaci).</w:t>
      </w:r>
    </w:p>
    <w:p w14:paraId="421356D9" w14:textId="2C980155" w:rsidR="00440E3A" w:rsidRPr="00C36F48" w:rsidRDefault="00440E3A" w:rsidP="0098240D">
      <w:pPr>
        <w:jc w:val="both"/>
      </w:pPr>
      <w:r w:rsidRPr="00C36F48">
        <w:t>Podpora nebude poskytnuta v případech předpokládaných čl. 1 odst. 1</w:t>
      </w:r>
      <w:r w:rsidR="001E563B">
        <w:t xml:space="preserve"> obou</w:t>
      </w:r>
      <w:r w:rsidRPr="00C36F48">
        <w:t xml:space="preserve"> Nařízení de minimis. Tyto skutečnosti ověří poskytovatel dotace.</w:t>
      </w:r>
    </w:p>
    <w:p w14:paraId="7AF7A06A" w14:textId="77777777" w:rsidR="00440E3A" w:rsidRPr="00C36F48" w:rsidRDefault="00440E3A" w:rsidP="0098240D">
      <w:pPr>
        <w:jc w:val="both"/>
      </w:pPr>
      <w:r w:rsidRPr="00C36F48">
        <w:t xml:space="preserve">Podporu lze kumulovat s podporami de minimis upravenými jinými nařízeními upravujícími podpory de minimis až do výše stanovených stropů. Podpora nebude kumulována s jinými veřejnými podporami </w:t>
      </w:r>
      <w:r w:rsidRPr="00C36F48">
        <w:lastRenderedPageBreak/>
        <w:t>na tytéž způsobilé náklady, pokud by taková kumulace vedla k překročení nejvyšší přípustné intenzity či výše veřejné podpory.</w:t>
      </w:r>
    </w:p>
    <w:p w14:paraId="7AFE3A73" w14:textId="53D60B06" w:rsidR="00440E3A" w:rsidRPr="00C36F48" w:rsidRDefault="00440E3A" w:rsidP="0098240D">
      <w:pPr>
        <w:jc w:val="both"/>
      </w:pPr>
      <w:r w:rsidRPr="00C36F48">
        <w:t>Údaje o podporách de minimis jsou poskytovatelem dotace zaznamenávány do centrálního registru podpor malého rozsahu</w:t>
      </w:r>
      <w:r w:rsidRPr="004F59B2">
        <w:rPr>
          <w:vertAlign w:val="superscript"/>
        </w:rPr>
        <w:footnoteReference w:id="4"/>
      </w:r>
      <w:r w:rsidRPr="004F59B2">
        <w:rPr>
          <w:vertAlign w:val="superscript"/>
        </w:rPr>
        <w:t xml:space="preserve"> </w:t>
      </w:r>
      <w:r w:rsidRPr="00C36F48">
        <w:t xml:space="preserve">ve lhůtě 5 pracovních dnů od jejich poskytnutí. </w:t>
      </w:r>
    </w:p>
    <w:p w14:paraId="7B6E7BB7" w14:textId="1453079C" w:rsidR="00440E3A" w:rsidRPr="00CB2D62" w:rsidRDefault="00440E3A" w:rsidP="00CB2D62">
      <w:pPr>
        <w:pStyle w:val="Nzev"/>
        <w:rPr>
          <w:rStyle w:val="Zdraznn"/>
        </w:rPr>
      </w:pPr>
      <w:r w:rsidRPr="00CB2D62">
        <w:rPr>
          <w:rStyle w:val="Zdraznn"/>
        </w:rPr>
        <w:t>Postup</w:t>
      </w:r>
    </w:p>
    <w:p w14:paraId="588D214D" w14:textId="569E6145" w:rsidR="00440E3A" w:rsidRPr="00C36F48" w:rsidRDefault="00440E3A" w:rsidP="00C36F48">
      <w:r w:rsidRPr="00C36F48">
        <w:t xml:space="preserve">Žadatel pro účely vydání rozhodnutí o dotaci doloží čestné prohlášení o podporách de minimis čerpaných jedním podnikem (skupinou podniků) </w:t>
      </w:r>
      <w:r w:rsidR="007C513A">
        <w:t>za uplynulých 36 měsíců.</w:t>
      </w:r>
    </w:p>
    <w:p w14:paraId="5EC30AB9" w14:textId="7E4BA32E" w:rsidR="00440E3A" w:rsidRPr="00C36F48" w:rsidRDefault="00440E3A" w:rsidP="00C36F48">
      <w:r w:rsidRPr="00C36F48">
        <w:t>V případě, že žadatel hodlá v budoucnu na stejný projekt žádat o podporu podle jiného režimu, sdělí příslušnému poskytovateli skutečnost, že již čerpal podporu de minimis.</w:t>
      </w:r>
    </w:p>
    <w:p w14:paraId="5C2B279F" w14:textId="442ED607" w:rsidR="00440E3A" w:rsidRPr="000E44AC" w:rsidRDefault="00440E3A" w:rsidP="00870AF2">
      <w:pPr>
        <w:pStyle w:val="Nadpis2"/>
      </w:pPr>
      <w:bookmarkStart w:id="9" w:name="_Toc158099297"/>
      <w:r w:rsidRPr="000E44AC">
        <w:t>Podmínky a postup pro poskytnutí podpory de minimis SOHZ</w:t>
      </w:r>
      <w:bookmarkEnd w:id="9"/>
    </w:p>
    <w:p w14:paraId="3EF63968" w14:textId="29ABA37B" w:rsidR="00440E3A" w:rsidRPr="00CB2D62" w:rsidRDefault="00440E3A" w:rsidP="00CB2D62">
      <w:pPr>
        <w:pStyle w:val="Nzev"/>
        <w:rPr>
          <w:rStyle w:val="Zdraznn"/>
        </w:rPr>
      </w:pPr>
      <w:r w:rsidRPr="00CB2D62">
        <w:rPr>
          <w:rStyle w:val="Zdraznn"/>
        </w:rPr>
        <w:t xml:space="preserve">Podmínky </w:t>
      </w:r>
    </w:p>
    <w:p w14:paraId="07052154" w14:textId="2CF7B568" w:rsidR="00440E3A" w:rsidRPr="00C36F48" w:rsidRDefault="00440E3A" w:rsidP="0098240D">
      <w:pPr>
        <w:jc w:val="both"/>
      </w:pPr>
      <w:r w:rsidRPr="00C36F48">
        <w:t>Výše podpory nepřesáhne</w:t>
      </w:r>
      <w:r w:rsidR="00E93783">
        <w:t xml:space="preserve"> p</w:t>
      </w:r>
      <w:r w:rsidR="00E93783" w:rsidRPr="00A95040">
        <w:rPr>
          <w:rStyle w:val="cf01"/>
          <w:rFonts w:asciiTheme="minorHAnsi" w:hAnsiTheme="minorHAnsi" w:cstheme="minorHAnsi"/>
          <w:i w:val="0"/>
          <w:iCs w:val="0"/>
          <w:sz w:val="22"/>
          <w:szCs w:val="22"/>
        </w:rPr>
        <w:t>o dobu přechodného období, tj. nejdéle do 30.6.2024</w:t>
      </w:r>
      <w:r w:rsidR="00E93783">
        <w:t xml:space="preserve"> </w:t>
      </w:r>
      <w:r w:rsidRPr="00C36F48">
        <w:t xml:space="preserve">pro jeden podnik (čl. 2 odst. 1 Nařízení </w:t>
      </w:r>
      <w:r w:rsidR="00E93783">
        <w:t xml:space="preserve">Komise (EU) </w:t>
      </w:r>
      <w:r w:rsidR="00E93783" w:rsidRPr="00C36F48">
        <w:t>č. 1407/2013 č. 1407/2013 ze dne 18. 12. 2013, o použití článků 107 a 108 Smlouvy o fungování Evropské unie na podporu de minimis, Úř. věst.  L 352, 24. 12. 2013 ve znění pozdějších předpisů</w:t>
      </w:r>
      <w:r w:rsidRPr="00C36F48">
        <w:t xml:space="preserve">) částku 500 000 EUR, a to za tři po sobě jdoucí účetní období (kalendářní nebo hospodářský rok). </w:t>
      </w:r>
      <w:r w:rsidR="00B34683">
        <w:t>Po uplynutí přechodného období nepřesáhne výše podpory pro jeden podnik (čl. 2 odst. 2</w:t>
      </w:r>
      <w:r w:rsidR="0001578B">
        <w:t xml:space="preserve"> </w:t>
      </w:r>
      <w:r w:rsidR="0001578B" w:rsidRPr="00A95040">
        <w:rPr>
          <w:rStyle w:val="cf01"/>
          <w:rFonts w:asciiTheme="minorHAnsi" w:hAnsiTheme="minorHAnsi" w:cstheme="minorHAnsi"/>
          <w:i w:val="0"/>
          <w:iCs w:val="0"/>
          <w:sz w:val="22"/>
          <w:szCs w:val="22"/>
        </w:rPr>
        <w:t>Nařízení Komise (EU) 2023/2832 ze dne 13. prosince 2023 o použití článků 107 a 108 Smlouvy o fungování Evropské unie na podporu de minimis udílenou podnikům poskytujícím služby obecného hospodářského zájmu, Úř. věst. L 15.12.2023</w:t>
      </w:r>
      <w:r w:rsidR="0001578B">
        <w:rPr>
          <w:rStyle w:val="cf01"/>
          <w:rFonts w:asciiTheme="minorHAnsi" w:hAnsiTheme="minorHAnsi" w:cstheme="minorHAnsi"/>
          <w:i w:val="0"/>
          <w:iCs w:val="0"/>
          <w:sz w:val="22"/>
          <w:szCs w:val="22"/>
        </w:rPr>
        <w:t>) částku 750 000 EUR,</w:t>
      </w:r>
      <w:r w:rsidR="0001578B" w:rsidRPr="0001578B">
        <w:t xml:space="preserve"> </w:t>
      </w:r>
      <w:r w:rsidR="0001578B">
        <w:t>a to za příslušné tříleté období počínaje dnem poskytnutí podpory de minimis podle dané výzvy.</w:t>
      </w:r>
    </w:p>
    <w:p w14:paraId="6ADC3F1F" w14:textId="77777777" w:rsidR="00440E3A" w:rsidRPr="00C36F48" w:rsidRDefault="00440E3A" w:rsidP="0098240D">
      <w:pPr>
        <w:jc w:val="both"/>
      </w:pPr>
      <w:r w:rsidRPr="00C36F48">
        <w:t>Podpora bude považována za poskytnutou dnem nabytí právní moci rozhodnutí o dotaci (částka podpory v korunách bude určena na základě přepočtu kurzem Evropské centrální banky k datu nabytí právní moci rozhodnutí o dotaci).</w:t>
      </w:r>
    </w:p>
    <w:p w14:paraId="1E6E7D87" w14:textId="68396CE5" w:rsidR="00440E3A" w:rsidRPr="00C36F48" w:rsidRDefault="00440E3A" w:rsidP="0098240D">
      <w:pPr>
        <w:jc w:val="both"/>
      </w:pPr>
      <w:r w:rsidRPr="00C36F48">
        <w:t>Podpora nebude poskytnuta v případech předpokládaných čl. 1 odst. 2 Nařízení Komise (EU) č. 360/2012 ze dne 25. 4. 2012 o použití článků 107 a 108 Smlouvy o fungování Evropské unie na podporu de minimis udílenou podnikům poskytujícím služby obecného hospodářského zájmu, Úř. věst. L 114, 26. 4. 2012, ve znění pozdějších předpisů</w:t>
      </w:r>
      <w:r w:rsidR="00F03FED">
        <w:t xml:space="preserve"> a čl. 1 odst. 1 </w:t>
      </w:r>
      <w:r w:rsidR="00F03FED" w:rsidRPr="00A95040">
        <w:rPr>
          <w:rStyle w:val="cf01"/>
          <w:rFonts w:asciiTheme="minorHAnsi" w:hAnsiTheme="minorHAnsi" w:cstheme="minorHAnsi"/>
          <w:i w:val="0"/>
          <w:iCs w:val="0"/>
          <w:sz w:val="22"/>
          <w:szCs w:val="22"/>
        </w:rPr>
        <w:t>Nařízení Komise (EU) 2023/2832 ze dne 13. prosince 2023 o použití článků 107 a 108 Smlouvy o fungování Evropské unie na podporu de minimis udílenou podnikům poskytujícím služby obecného hospodářského zájmu, Úř. věst. L 15.12.2023</w:t>
      </w:r>
      <w:r w:rsidRPr="00C36F48">
        <w:t>. Tyto skutečnosti ověří poskytovatel dotace.</w:t>
      </w:r>
    </w:p>
    <w:p w14:paraId="0FD261DD" w14:textId="25B4306E" w:rsidR="00440E3A" w:rsidRPr="00C36F48" w:rsidRDefault="00440E3A" w:rsidP="0098240D">
      <w:pPr>
        <w:jc w:val="both"/>
      </w:pPr>
      <w:bookmarkStart w:id="10" w:name="_Hlk146881370"/>
      <w:r w:rsidRPr="00CA3550">
        <w:lastRenderedPageBreak/>
        <w:t>Podpora nebude poskytnuta podniku v obtížích</w:t>
      </w:r>
      <w:r w:rsidRPr="00CA3550">
        <w:rPr>
          <w:vertAlign w:val="superscript"/>
        </w:rPr>
        <w:footnoteReference w:id="5"/>
      </w:r>
      <w:r w:rsidRPr="00CA3550">
        <w:t>, s výjimkou podniků, které ke dni 31. prosince 2019 nebyly v obtížích, ale staly se podniky v obtížích v období od 1. ledna 2020 do 30. června 2021.</w:t>
      </w:r>
      <w:bookmarkEnd w:id="10"/>
      <w:r w:rsidRPr="00CA3550">
        <w:t xml:space="preserve"> </w:t>
      </w:r>
      <w:r w:rsidR="003343E4" w:rsidRPr="00CA3550">
        <w:t>Po uplynutí uvedeného přechodného období tato podmínka nebude aplikována.</w:t>
      </w:r>
    </w:p>
    <w:p w14:paraId="15010925" w14:textId="4FEE587E" w:rsidR="00440E3A" w:rsidRPr="00C36F48" w:rsidRDefault="00440E3A" w:rsidP="0098240D">
      <w:pPr>
        <w:jc w:val="both"/>
      </w:pPr>
      <w:r w:rsidRPr="00C36F48">
        <w:t>Podporu lze kumulovat s podporou de minimis podle jiných nařízení o podpoře de minimis</w:t>
      </w:r>
      <w:r w:rsidR="009378D3">
        <w:t>.</w:t>
      </w:r>
      <w:r w:rsidRPr="00C36F48">
        <w:t xml:space="preserve"> Podporu nelze kumulovat s žádnou vyrovnávací platbou na tutéž službu obecného hospodářského zájmu bez ohledu na to, zda tato vyrovnávací platba představuje, nebo nepředstavuje veřejnou podporu.</w:t>
      </w:r>
      <w:r w:rsidR="00143F3A">
        <w:t xml:space="preserve"> </w:t>
      </w:r>
      <w:r w:rsidR="00143F3A">
        <w:rPr>
          <w:color w:val="000000"/>
          <w:shd w:val="clear" w:color="auto" w:fill="FFFFFF"/>
        </w:rPr>
        <w:t>Podporu </w:t>
      </w:r>
      <w:r w:rsidR="00143F3A" w:rsidRPr="0098240D">
        <w:rPr>
          <w:rStyle w:val="oj-italic"/>
          <w:color w:val="000000"/>
          <w:shd w:val="clear" w:color="auto" w:fill="FFFFFF"/>
        </w:rPr>
        <w:t>de minimis</w:t>
      </w:r>
      <w:r w:rsidR="00143F3A">
        <w:rPr>
          <w:rStyle w:val="oj-italic"/>
          <w:color w:val="000000"/>
          <w:shd w:val="clear" w:color="auto" w:fill="FFFFFF"/>
        </w:rPr>
        <w:t xml:space="preserve"> </w:t>
      </w:r>
      <w:r w:rsidR="00143F3A">
        <w:rPr>
          <w:color w:val="000000"/>
          <w:shd w:val="clear" w:color="auto" w:fill="FFFFFF"/>
        </w:rPr>
        <w:t>nelze kumulovat s veřejnou podporou na tytéž způsobilé náklady nebo s veřejnou podporou na tatáž opatření rizikového financování, pokud by taková kumulace překročila nejvyšší příslušnou intenzitu podpory či výši podpory, která je pro specifické okolnosti každého případu stanovena v nařízení o blokové výjimce nebo v rozhodnutí přijatém Komisí. Podporu </w:t>
      </w:r>
      <w:r w:rsidR="00143F3A" w:rsidRPr="0098240D">
        <w:rPr>
          <w:rStyle w:val="oj-italic"/>
          <w:color w:val="000000"/>
          <w:shd w:val="clear" w:color="auto" w:fill="FFFFFF"/>
        </w:rPr>
        <w:t>de minimis</w:t>
      </w:r>
      <w:r w:rsidR="00143F3A">
        <w:rPr>
          <w:color w:val="000000"/>
          <w:shd w:val="clear" w:color="auto" w:fill="FFFFFF"/>
        </w:rPr>
        <w:t>, která není udělena na zvláštní způsobilé náklady či není těmto nákladům přičitatelná, lze kumulovat s jinou veřejnou podporou udělenou na základě nařízení o blokové výjimce nebo rozhodnutí přijatého Komisí.</w:t>
      </w:r>
    </w:p>
    <w:p w14:paraId="1F6B152F" w14:textId="61161920" w:rsidR="00440E3A" w:rsidRPr="00C36F48" w:rsidRDefault="00440E3A" w:rsidP="0098240D">
      <w:pPr>
        <w:jc w:val="both"/>
      </w:pPr>
      <w:r w:rsidRPr="00C36F48">
        <w:t>Údaje o podporách de minimis jsou poskytovatelem dotace zaznamenávány do centrálního registru podpor malého rozsahu</w:t>
      </w:r>
      <w:r w:rsidRPr="001225D6">
        <w:rPr>
          <w:vertAlign w:val="superscript"/>
        </w:rPr>
        <w:footnoteReference w:id="6"/>
      </w:r>
      <w:r w:rsidRPr="00C36F48">
        <w:t xml:space="preserve"> ve lhůtě 5 pracovních dnů od jejich poskytnutí. </w:t>
      </w:r>
    </w:p>
    <w:p w14:paraId="43E2B839" w14:textId="036993E3" w:rsidR="00440E3A" w:rsidRPr="00CB2D62" w:rsidRDefault="00440E3A" w:rsidP="0098240D">
      <w:pPr>
        <w:pStyle w:val="Nzev"/>
        <w:jc w:val="both"/>
        <w:rPr>
          <w:rStyle w:val="Zdraznn"/>
          <w:rFonts w:eastAsiaTheme="minorHAnsi" w:cstheme="minorBidi"/>
          <w:spacing w:val="0"/>
          <w:kern w:val="0"/>
          <w:szCs w:val="22"/>
        </w:rPr>
      </w:pPr>
      <w:r w:rsidRPr="00CB2D62">
        <w:rPr>
          <w:rStyle w:val="Zdraznn"/>
        </w:rPr>
        <w:t>Postup</w:t>
      </w:r>
    </w:p>
    <w:p w14:paraId="6BC2398C" w14:textId="44309C52" w:rsidR="00440E3A" w:rsidRPr="00C36F48" w:rsidRDefault="00440E3A" w:rsidP="0098240D">
      <w:pPr>
        <w:jc w:val="both"/>
      </w:pPr>
      <w:r w:rsidRPr="00C36F48">
        <w:t xml:space="preserve">Žadatel pro účely vydání rozhodnutí o dotaci doloží čestné prohlášení o podporách de minimis čerpaných jedním podnikem (skupinou podniků) </w:t>
      </w:r>
      <w:r w:rsidR="00072340">
        <w:t>za uplynulých 36 měsíců</w:t>
      </w:r>
      <w:r w:rsidR="00893A79">
        <w:t>.</w:t>
      </w:r>
      <w:r w:rsidRPr="00C36F48">
        <w:t xml:space="preserve"> </w:t>
      </w:r>
    </w:p>
    <w:p w14:paraId="15269DB5" w14:textId="77777777" w:rsidR="00440E3A" w:rsidRPr="00CA3550" w:rsidRDefault="00440E3A" w:rsidP="0098240D">
      <w:pPr>
        <w:jc w:val="both"/>
      </w:pPr>
      <w:r w:rsidRPr="00C36F48">
        <w:t xml:space="preserve">V případě, že žadatel hodlá v budoucnu na stejný projekt žádat o podporu podle jiného režimu, sdělí </w:t>
      </w:r>
      <w:r w:rsidRPr="00CA3550">
        <w:t xml:space="preserve">příslušnému poskytovateli skutečnost, že již čerpal podporu de minimis SOHZ. </w:t>
      </w:r>
    </w:p>
    <w:p w14:paraId="057CE753" w14:textId="5E4EB2DA" w:rsidR="00440E3A" w:rsidRPr="00C36F48" w:rsidRDefault="00440E3A" w:rsidP="0098240D">
      <w:pPr>
        <w:jc w:val="both"/>
      </w:pPr>
      <w:r w:rsidRPr="00CA3550">
        <w:t>Žadatel pro účely vydání rozhodnutí o dotaci doloží čestné prohlášení o tom, že není podnikem v obtížích.</w:t>
      </w:r>
      <w:r w:rsidR="00B030DF" w:rsidRPr="00CA3550">
        <w:t xml:space="preserve"> </w:t>
      </w:r>
      <w:r w:rsidR="00CA3550" w:rsidRPr="00CA3550">
        <w:t>Toto se však týká žádostí v původním režimu de minimis, p</w:t>
      </w:r>
      <w:r w:rsidR="00B030DF" w:rsidRPr="00CA3550">
        <w:t>o uplynutí uvedeného přechodného období tato podmínka nebude aplikována.</w:t>
      </w:r>
    </w:p>
    <w:p w14:paraId="2E6AFEC3" w14:textId="09FF06E2" w:rsidR="00440E3A" w:rsidRPr="00C36F48" w:rsidRDefault="00137919" w:rsidP="00C36F48">
      <w:r>
        <w:t>Žadatel je povinen obstarat si</w:t>
      </w:r>
      <w:r w:rsidR="00440E3A" w:rsidRPr="00C36F48">
        <w:t xml:space="preserve"> pověření výkonem služby v obecném hospodářském zájmu, ve kterém bude specifikována alespoň:</w:t>
      </w:r>
    </w:p>
    <w:p w14:paraId="59BC5A7A" w14:textId="77777777" w:rsidR="00440E3A" w:rsidRPr="00C36F48" w:rsidRDefault="00440E3A" w:rsidP="00A76E34">
      <w:pPr>
        <w:pStyle w:val="Odstavecseseznamem"/>
        <w:numPr>
          <w:ilvl w:val="0"/>
          <w:numId w:val="46"/>
        </w:numPr>
      </w:pPr>
      <w:r w:rsidRPr="00C36F48">
        <w:t>povaha závazku, tj. vymezena služba obecného hospodářského zájmu,</w:t>
      </w:r>
    </w:p>
    <w:p w14:paraId="29E7D9C8" w14:textId="77777777" w:rsidR="00440E3A" w:rsidRPr="00C36F48" w:rsidRDefault="00440E3A" w:rsidP="00A76E34">
      <w:pPr>
        <w:pStyle w:val="Odstavecseseznamem"/>
        <w:numPr>
          <w:ilvl w:val="0"/>
          <w:numId w:val="46"/>
        </w:numPr>
      </w:pPr>
      <w:r w:rsidRPr="00C36F48">
        <w:t>území, na kterém bude závazek vykonáván,</w:t>
      </w:r>
    </w:p>
    <w:p w14:paraId="28D93FAF" w14:textId="0B081172" w:rsidR="00A76E34" w:rsidRPr="00C36F48" w:rsidRDefault="00440E3A" w:rsidP="003D13DD">
      <w:pPr>
        <w:pStyle w:val="Odstavecseseznamem"/>
        <w:numPr>
          <w:ilvl w:val="0"/>
          <w:numId w:val="46"/>
        </w:numPr>
      </w:pPr>
      <w:r w:rsidRPr="00C36F48">
        <w:t>podnik (myšleno příjemce dotace) který bude výkonem závazku pověřen.</w:t>
      </w:r>
    </w:p>
    <w:p w14:paraId="2E9886F0" w14:textId="0DF9ECFD" w:rsidR="00440E3A" w:rsidRPr="000E44AC" w:rsidRDefault="00440E3A" w:rsidP="00870AF2">
      <w:pPr>
        <w:pStyle w:val="Nadpis2"/>
      </w:pPr>
      <w:bookmarkStart w:id="11" w:name="_Toc158099298"/>
      <w:r w:rsidRPr="000E44AC">
        <w:t>Podmínky a postup pro poskytnutí podpory v režimu SOHZ</w:t>
      </w:r>
      <w:bookmarkEnd w:id="11"/>
      <w:r w:rsidRPr="000E44AC">
        <w:t xml:space="preserve"> </w:t>
      </w:r>
    </w:p>
    <w:p w14:paraId="6523055A" w14:textId="49DB3C06" w:rsidR="00440E3A" w:rsidRPr="00CB2D62" w:rsidRDefault="00440E3A" w:rsidP="00CB2D62">
      <w:pPr>
        <w:pStyle w:val="Nzev"/>
        <w:rPr>
          <w:rStyle w:val="Zdraznn"/>
        </w:rPr>
      </w:pPr>
      <w:r w:rsidRPr="00CB2D62">
        <w:rPr>
          <w:rStyle w:val="Zdraznn"/>
        </w:rPr>
        <w:t>Podmínky</w:t>
      </w:r>
    </w:p>
    <w:p w14:paraId="0B9137DF" w14:textId="77777777" w:rsidR="00440E3A" w:rsidRPr="00C36F48" w:rsidRDefault="00440E3A" w:rsidP="0098240D">
      <w:pPr>
        <w:jc w:val="both"/>
      </w:pPr>
      <w:r w:rsidRPr="00C36F48">
        <w:t xml:space="preserve">Podpora bude poskytována jako vyrovnávací platba v souladu s Rozhodnutím Komise ze dne 20. 12. 2011 o použití čl. 106 odst. 2 Smlouvy o fungování Evropské unie na státní podporu ve formě </w:t>
      </w:r>
      <w:r w:rsidRPr="00C36F48">
        <w:lastRenderedPageBreak/>
        <w:t>vyrovnávací platby za závazek veřejné služby udělené určitým podnikům pověřeným poskytováním služeb obecného hospodářského zájmu č. 2012/21/EU, Úř. věst.  L 7, 11. 1. 2012 (dále jen „Rozhodnutí SOHZ“), a to jako veřejná podpora slučitelná s vnitřním trhem EU bez nutnosti předchozí notifikace.</w:t>
      </w:r>
    </w:p>
    <w:p w14:paraId="5D19283F" w14:textId="222BEE2C" w:rsidR="00440E3A" w:rsidRPr="00C36F48" w:rsidRDefault="00440E3A" w:rsidP="0098240D">
      <w:pPr>
        <w:jc w:val="both"/>
      </w:pPr>
      <w:r w:rsidRPr="00C36F48">
        <w:t xml:space="preserve">Náklady na projektovou dokumentaci budou považovány za náklady spojené s investicí nezbytnou pro výkon služby obecného hospodářského zájmu pouze za předpokladu, že dojde k realizaci investice, v jejímž rámci bude příslušná služba obecného hospodářského zájmu realizována. </w:t>
      </w:r>
      <w:r w:rsidR="00C10D76">
        <w:t>Pokud k realizaci investice nedojde, příjemce bude povinen poskytnutou veřejnou podporu navrátit poskytovateli.</w:t>
      </w:r>
    </w:p>
    <w:p w14:paraId="2B551AFD" w14:textId="0C0B4C42" w:rsidR="00440E3A" w:rsidRPr="00CB2D62" w:rsidRDefault="00440E3A" w:rsidP="00CB2D62">
      <w:pPr>
        <w:pStyle w:val="Nzev"/>
        <w:rPr>
          <w:rStyle w:val="Zdraznn"/>
        </w:rPr>
      </w:pPr>
      <w:r w:rsidRPr="00CB2D62">
        <w:rPr>
          <w:rStyle w:val="Zdraznn"/>
        </w:rPr>
        <w:t>Postup</w:t>
      </w:r>
    </w:p>
    <w:p w14:paraId="38E4F3F5" w14:textId="3A21F840" w:rsidR="00440E3A" w:rsidRPr="00C36F48" w:rsidRDefault="00AC0C09" w:rsidP="0098240D">
      <w:pPr>
        <w:jc w:val="both"/>
      </w:pPr>
      <w:r>
        <w:t>Žadatel musí disponovat</w:t>
      </w:r>
      <w:r w:rsidR="00440E3A" w:rsidRPr="00C36F48">
        <w:t xml:space="preserve"> pověř</w:t>
      </w:r>
      <w:r>
        <w:t>ovacím aktem pro</w:t>
      </w:r>
      <w:r w:rsidR="00440E3A" w:rsidRPr="00C36F48">
        <w:t xml:space="preserve"> výkon</w:t>
      </w:r>
      <w:r>
        <w:t xml:space="preserve"> </w:t>
      </w:r>
      <w:r w:rsidR="00440E3A" w:rsidRPr="00C36F48">
        <w:t>služby v obecném hospodářském zájmu, ve kterém bude specifikována:</w:t>
      </w:r>
    </w:p>
    <w:p w14:paraId="426FC962" w14:textId="77777777" w:rsidR="00440E3A" w:rsidRPr="00C36F48" w:rsidRDefault="00440E3A" w:rsidP="0098240D">
      <w:pPr>
        <w:pStyle w:val="Odstavecseseznamem"/>
        <w:numPr>
          <w:ilvl w:val="0"/>
          <w:numId w:val="47"/>
        </w:numPr>
        <w:jc w:val="both"/>
      </w:pPr>
      <w:r w:rsidRPr="00C36F48">
        <w:t>povaha závazku, tj. vymezena služba obecného hospodářského zájmu,</w:t>
      </w:r>
    </w:p>
    <w:p w14:paraId="558D8419" w14:textId="77777777" w:rsidR="00440E3A" w:rsidRPr="00C36F48" w:rsidRDefault="00440E3A" w:rsidP="0098240D">
      <w:pPr>
        <w:pStyle w:val="Odstavecseseznamem"/>
        <w:numPr>
          <w:ilvl w:val="0"/>
          <w:numId w:val="47"/>
        </w:numPr>
        <w:jc w:val="both"/>
      </w:pPr>
      <w:r w:rsidRPr="00C36F48">
        <w:t>doba trvání závazku,</w:t>
      </w:r>
    </w:p>
    <w:p w14:paraId="3111A892" w14:textId="77777777" w:rsidR="00440E3A" w:rsidRPr="00C36F48" w:rsidRDefault="00440E3A" w:rsidP="0098240D">
      <w:pPr>
        <w:pStyle w:val="Odstavecseseznamem"/>
        <w:numPr>
          <w:ilvl w:val="0"/>
          <w:numId w:val="47"/>
        </w:numPr>
        <w:jc w:val="both"/>
      </w:pPr>
      <w:r w:rsidRPr="00C36F48">
        <w:t>území, na kterém bude závazek vykonáván,</w:t>
      </w:r>
    </w:p>
    <w:p w14:paraId="0D7CBBB0" w14:textId="77777777" w:rsidR="00440E3A" w:rsidRPr="00C36F48" w:rsidRDefault="00440E3A" w:rsidP="0098240D">
      <w:pPr>
        <w:pStyle w:val="Odstavecseseznamem"/>
        <w:numPr>
          <w:ilvl w:val="0"/>
          <w:numId w:val="47"/>
        </w:numPr>
        <w:jc w:val="both"/>
      </w:pPr>
      <w:r w:rsidRPr="00C36F48">
        <w:t>podnik/obec (myšleno příjemce dotace) který bude výkonem závazku pověřen,</w:t>
      </w:r>
    </w:p>
    <w:p w14:paraId="05390FD4" w14:textId="1B47D476" w:rsidR="00440E3A" w:rsidRPr="00C36F48" w:rsidRDefault="00440E3A" w:rsidP="0098240D">
      <w:pPr>
        <w:pStyle w:val="Odstavecseseznamem"/>
        <w:numPr>
          <w:ilvl w:val="0"/>
          <w:numId w:val="47"/>
        </w:numPr>
        <w:jc w:val="both"/>
      </w:pPr>
      <w:r w:rsidRPr="00C36F48">
        <w:t>podmínky výkonu závazku</w:t>
      </w:r>
      <w:r w:rsidR="001225D6">
        <w:t>,</w:t>
      </w:r>
    </w:p>
    <w:p w14:paraId="7920F707" w14:textId="77777777" w:rsidR="00440E3A" w:rsidRPr="00C36F48" w:rsidRDefault="00440E3A" w:rsidP="0098240D">
      <w:pPr>
        <w:pStyle w:val="Odstavecseseznamem"/>
        <w:numPr>
          <w:ilvl w:val="0"/>
          <w:numId w:val="47"/>
        </w:numPr>
        <w:jc w:val="both"/>
      </w:pPr>
      <w:r w:rsidRPr="00C36F48">
        <w:t>povaha výhradních nebo zvláštních práv udělených podniku poskytovatelem dotace, pokud jsou taková práva udělována,</w:t>
      </w:r>
    </w:p>
    <w:p w14:paraId="00B1BE89" w14:textId="77777777" w:rsidR="00440E3A" w:rsidRPr="00C36F48" w:rsidRDefault="00440E3A" w:rsidP="0098240D">
      <w:pPr>
        <w:pStyle w:val="Odstavecseseznamem"/>
        <w:numPr>
          <w:ilvl w:val="0"/>
          <w:numId w:val="47"/>
        </w:numPr>
        <w:jc w:val="both"/>
      </w:pPr>
      <w:r w:rsidRPr="00C36F48">
        <w:t xml:space="preserve">popis kompenzačního mechanismu a parametrů pro výpočet, kontrolu a přezkoumání vyrovnávací platby, </w:t>
      </w:r>
    </w:p>
    <w:p w14:paraId="3DE72BF7" w14:textId="77777777" w:rsidR="00440E3A" w:rsidRPr="00C36F48" w:rsidRDefault="00440E3A" w:rsidP="0098240D">
      <w:pPr>
        <w:pStyle w:val="Odstavecseseznamem"/>
        <w:numPr>
          <w:ilvl w:val="0"/>
          <w:numId w:val="47"/>
        </w:numPr>
        <w:jc w:val="both"/>
      </w:pPr>
      <w:r w:rsidRPr="00C36F48">
        <w:t>opatření k zamezení a vrácení jakékoliv nadměrné vyrovnávací platby,</w:t>
      </w:r>
    </w:p>
    <w:p w14:paraId="688E8449" w14:textId="77777777" w:rsidR="00440E3A" w:rsidRPr="00C36F48" w:rsidRDefault="00440E3A" w:rsidP="0098240D">
      <w:pPr>
        <w:pStyle w:val="Odstavecseseznamem"/>
        <w:numPr>
          <w:ilvl w:val="0"/>
          <w:numId w:val="47"/>
        </w:numPr>
        <w:jc w:val="both"/>
      </w:pPr>
      <w:r w:rsidRPr="00C36F48">
        <w:t>odkaz na Rozhodnutí SOHZ,</w:t>
      </w:r>
    </w:p>
    <w:p w14:paraId="4AA68C75" w14:textId="06387767" w:rsidR="00440E3A" w:rsidRPr="00C36F48" w:rsidRDefault="00440E3A" w:rsidP="0098240D">
      <w:pPr>
        <w:pStyle w:val="Odstavecseseznamem"/>
        <w:numPr>
          <w:ilvl w:val="0"/>
          <w:numId w:val="47"/>
        </w:numPr>
        <w:jc w:val="both"/>
      </w:pPr>
      <w:r w:rsidRPr="00C36F48">
        <w:t>cílová skupina.</w:t>
      </w:r>
    </w:p>
    <w:p w14:paraId="7267489B" w14:textId="77777777" w:rsidR="00440E3A" w:rsidRPr="00C36F48" w:rsidRDefault="00440E3A" w:rsidP="0098240D">
      <w:pPr>
        <w:jc w:val="both"/>
      </w:pPr>
      <w:r w:rsidRPr="00C36F48">
        <w:t>Žadatel doloží údaje o všech podporách (i de minimis) čerpaných na daný projekt.</w:t>
      </w:r>
    </w:p>
    <w:p w14:paraId="0147FF0C" w14:textId="2D17D44E" w:rsidR="00440E3A" w:rsidRDefault="00440E3A" w:rsidP="0098240D">
      <w:pPr>
        <w:jc w:val="both"/>
      </w:pPr>
      <w:r w:rsidRPr="00C36F48">
        <w:t>Dotace nebude kumulována s podporou de minimis podle Nařízení de minimis SOHZ, pokud tato byla poskytnuta na stejnou službu obecného hospodářského zájmu.</w:t>
      </w:r>
    </w:p>
    <w:p w14:paraId="5E24F6C0" w14:textId="77777777" w:rsidR="00A042B5" w:rsidRDefault="00A042B5" w:rsidP="0098240D">
      <w:pPr>
        <w:jc w:val="both"/>
      </w:pPr>
      <w:r>
        <w:t>Potenciálním žadatelům o podporu v tomto režimu se doporučuje, aby nejprve zjistili, zda a od jakého subjektu získají pověřovací akt, naplňující podmínky Rozhodnutí SOHZ, neboť bez jeho vydání nelze podporu udělit.</w:t>
      </w:r>
    </w:p>
    <w:p w14:paraId="49876C3F" w14:textId="13A89A39" w:rsidR="00C13CC3" w:rsidRDefault="00A042B5" w:rsidP="0098240D">
      <w:pPr>
        <w:jc w:val="both"/>
      </w:pPr>
      <w:r>
        <w:t>Dále je zapotřebí vzít na vědomí, že příjemce podpory na pořízení investice (dlouhodobého majetku) v režimu SOHZ je povinen zajistit, že daná investice bude využívána ke službě SOHZ po celou dobu životnosti investice, a to v rozsahu a za podmínek stanovených v právním aktu o poskytnutí podpory.</w:t>
      </w:r>
      <w:r w:rsidR="00AD30FF">
        <w:t xml:space="preserve"> V opačném případě může u příjemce podpory vzniknout nadměrné vyrovnání, které je povinen vrátit. </w:t>
      </w:r>
    </w:p>
    <w:p w14:paraId="1B4A7CF6" w14:textId="40070EF7" w:rsidR="00A042B5" w:rsidRDefault="00C13CC3" w:rsidP="00197077">
      <w:r>
        <w:br w:type="page"/>
      </w:r>
    </w:p>
    <w:p w14:paraId="72211EF3" w14:textId="77777777" w:rsidR="00E66ECE" w:rsidRPr="000E44AC" w:rsidRDefault="00E66ECE" w:rsidP="00197077"/>
    <w:p w14:paraId="00D5D4C1" w14:textId="5C4C7F7F" w:rsidR="00440E3A" w:rsidRPr="000E44AC" w:rsidRDefault="00440E3A" w:rsidP="00870AF2">
      <w:pPr>
        <w:pStyle w:val="Nadpis2"/>
      </w:pPr>
      <w:bookmarkStart w:id="12" w:name="_Toc158099299"/>
      <w:r w:rsidRPr="000E44AC">
        <w:t>Podmínky a postup pro poskytnutí podpory v režimu čl. 56 GBER</w:t>
      </w:r>
      <w:bookmarkEnd w:id="12"/>
    </w:p>
    <w:p w14:paraId="58C7E394" w14:textId="56B1181E" w:rsidR="00440E3A" w:rsidRPr="00CB2D62" w:rsidRDefault="00440E3A" w:rsidP="00CB2D62">
      <w:pPr>
        <w:pStyle w:val="Nzev"/>
        <w:rPr>
          <w:rStyle w:val="Zdraznn"/>
        </w:rPr>
      </w:pPr>
      <w:r w:rsidRPr="00CB2D62">
        <w:rPr>
          <w:rStyle w:val="Zdraznn"/>
        </w:rPr>
        <w:t xml:space="preserve">Podmínky </w:t>
      </w:r>
    </w:p>
    <w:p w14:paraId="07728BE8" w14:textId="77777777" w:rsidR="00440E3A" w:rsidRPr="00C36F48" w:rsidRDefault="00440E3A" w:rsidP="0098240D">
      <w:pPr>
        <w:jc w:val="both"/>
      </w:pPr>
      <w:r w:rsidRPr="00C36F48">
        <w:t>Žádost o veřejnou podporu bude podána před zahájením prací na projektu nebo činnosti.</w:t>
      </w:r>
    </w:p>
    <w:p w14:paraId="506E0B10" w14:textId="75134232" w:rsidR="00440E3A" w:rsidRPr="00C36F48" w:rsidRDefault="00440E3A" w:rsidP="0098240D">
      <w:pPr>
        <w:jc w:val="both"/>
      </w:pPr>
      <w:r w:rsidRPr="00C36F48">
        <w:t>Žadatel následně realizuje investici, kvůli které je projektová dokumentace zhotovována.</w:t>
      </w:r>
      <w:r w:rsidR="00DF77EB">
        <w:t xml:space="preserve"> Pokud k realizaci investice nedojde, příjemce bude povinen poskytnutou veřejnou podporu navrátit poskytovateli.</w:t>
      </w:r>
    </w:p>
    <w:p w14:paraId="28AB3F1A" w14:textId="77777777" w:rsidR="00440E3A" w:rsidRPr="00C36F48" w:rsidRDefault="00440E3A" w:rsidP="0098240D">
      <w:pPr>
        <w:jc w:val="both"/>
      </w:pPr>
      <w:r w:rsidRPr="00C36F48">
        <w:t xml:space="preserve">Veřejná podpora nebude poskytnuta žadateli, vůči němuž byl v návaznosti na rozhodnutí Komise, jímž je podpora poskytnutá týmž členským státem prohlášena za protiprávní a neslučitelnou s vnitřním trhem, vystaven inkasní příkaz. </w:t>
      </w:r>
    </w:p>
    <w:p w14:paraId="4CA09D90" w14:textId="7882552C" w:rsidR="00440E3A" w:rsidRPr="00C36F48" w:rsidRDefault="00440E3A" w:rsidP="0098240D">
      <w:pPr>
        <w:jc w:val="both"/>
      </w:pPr>
      <w:r w:rsidRPr="00C36F48">
        <w:t>Veřejná podpora nebude poskytnuta podniku v obtížích s výjimkou podniků, které ke dni 31. prosince 2019 nebyly v obtížích, ale staly se podniky v obtížích v období od 1. ledna 2020 do 31. prosince 2021.</w:t>
      </w:r>
      <w:r w:rsidR="00433D1E">
        <w:t xml:space="preserve"> </w:t>
      </w:r>
      <w:r w:rsidRPr="00C36F48">
        <w:t>Veřejná podpora nebude poskytnuta ani v ostatních případech předpokládaných čl. 1 GBER.</w:t>
      </w:r>
    </w:p>
    <w:p w14:paraId="48C98457" w14:textId="77777777" w:rsidR="00440E3A" w:rsidRPr="00C36F48" w:rsidRDefault="00440E3A" w:rsidP="0098240D">
      <w:pPr>
        <w:jc w:val="both"/>
      </w:pPr>
      <w:r w:rsidRPr="00C36F48">
        <w:t>Výše veřejné podpory činí rozdíl mezi způsobilými výdaji a provozním ziskem z investice (dále jen „finanční mezera“). Provozním ziskem se rozumí kladný rozdíl mezi diskontovanými výnosy a diskontovanými provozními náklady za dobu ekonomické životnosti investice. Mezi provozní náklady patří např. osobní náklady, náklady na materiál, smluvní služby, komunikaci, energii, údržbu, nájemné, správní náklady, ale nepatří k nim odpisy a finanční náklady, pokud se na ně vztahovala investiční podpora. Diskontováním výnosů a provozních nákladů s použitím vhodné diskontní sazby se umožní dosažení přiměřeného zisku.</w:t>
      </w:r>
    </w:p>
    <w:p w14:paraId="75E6CE13" w14:textId="77777777" w:rsidR="00440E3A" w:rsidRPr="00C36F48" w:rsidRDefault="00440E3A" w:rsidP="0098240D">
      <w:pPr>
        <w:jc w:val="both"/>
      </w:pPr>
      <w:r w:rsidRPr="00C36F48">
        <w:t>Veřejná podpora nebude kumulována s dalšími veřejnými podporami či podporami de minimis, pokud by taková kumulace vedla k překročení výše veřejné podpory nebo dalších podmínek stanovených příslušnými předpisy.</w:t>
      </w:r>
    </w:p>
    <w:p w14:paraId="74CF2B1F" w14:textId="24DBB292" w:rsidR="00440E3A" w:rsidRDefault="00440E3A" w:rsidP="00C36F48">
      <w:r w:rsidRPr="00C36F48">
        <w:t>Žadatel bere na vědomí, že veřejná podpora na projektovou dokumentaci bude zahrnuta do celkové veřejné podpory na předmětný investiční projekt.</w:t>
      </w:r>
    </w:p>
    <w:p w14:paraId="6CB47505" w14:textId="047FE6B8" w:rsidR="00702EEE" w:rsidRDefault="00702EEE" w:rsidP="00EA1EDD">
      <w:pPr>
        <w:jc w:val="both"/>
      </w:pPr>
      <w:r>
        <w:t xml:space="preserve">U podpory poskytnuté podle GBER je nezbytné zajistit její motivační účinek. Podle článku 6 odst. 2 GBER se podpora se považuje za podporu s motivačním účinkem, pokud příjemce předložil dotyčnému členskému státu písemnou žádost o podporu před zahájením prací na projektu nebo činnosti. </w:t>
      </w:r>
      <w:r w:rsidR="000E013D">
        <w:t xml:space="preserve">„Zahájením prací“ se pak rozumí buď zahájení stavebních prací v rámci investice, nebo první právně vymahatelný závazek objednat zařízení či jiný závazek, v jehož důsledku se investice stává nezvratnou, podle toho, která událost nastane dříve. </w:t>
      </w:r>
    </w:p>
    <w:p w14:paraId="1ABC5FED" w14:textId="1CDCA68E" w:rsidR="00E66ECE" w:rsidRDefault="000E013D" w:rsidP="00E66ECE">
      <w:pPr>
        <w:jc w:val="both"/>
      </w:pPr>
      <w:r>
        <w:t>Za zahájení prací se tedy nepovažuje zahájení zadávacího řízení a jiné úkony, uskutečněné před podáním žádosti o podporu, které ještě nepředstavuj</w:t>
      </w:r>
      <w:r w:rsidR="006B3331">
        <w:t>í</w:t>
      </w:r>
      <w:r>
        <w:t xml:space="preserve"> </w:t>
      </w:r>
      <w:r w:rsidR="006B3331">
        <w:t>závazek k pořízení dodávek zboží, stavebních prací nebo služeb v rámci projektu.</w:t>
      </w:r>
    </w:p>
    <w:p w14:paraId="57EE6203" w14:textId="77777777" w:rsidR="00E66ECE" w:rsidRDefault="00E66ECE">
      <w:r>
        <w:br w:type="page"/>
      </w:r>
    </w:p>
    <w:p w14:paraId="43F804CB" w14:textId="77777777" w:rsidR="006452B8" w:rsidRPr="00E66ECE" w:rsidRDefault="006452B8" w:rsidP="00E66ECE">
      <w:pPr>
        <w:jc w:val="both"/>
        <w:rPr>
          <w:rStyle w:val="Zdraznn"/>
          <w:iCs w:val="0"/>
          <w:color w:val="auto"/>
        </w:rPr>
      </w:pPr>
    </w:p>
    <w:p w14:paraId="4B765189" w14:textId="41E8CAE4" w:rsidR="00440E3A" w:rsidRPr="00CB2D62" w:rsidRDefault="00440E3A" w:rsidP="00CB2D62">
      <w:pPr>
        <w:pStyle w:val="Nzev"/>
        <w:rPr>
          <w:rStyle w:val="Zdraznn"/>
        </w:rPr>
      </w:pPr>
      <w:r w:rsidRPr="00CB2D62">
        <w:rPr>
          <w:rStyle w:val="Zdraznn"/>
        </w:rPr>
        <w:t>Postup</w:t>
      </w:r>
    </w:p>
    <w:p w14:paraId="1522C672" w14:textId="2441A3CF" w:rsidR="00440E3A" w:rsidRPr="00C36F48" w:rsidRDefault="00440E3A" w:rsidP="0098240D">
      <w:pPr>
        <w:jc w:val="both"/>
      </w:pPr>
      <w:r w:rsidRPr="00C36F48">
        <w:t>Žadatel pro účely vydání rozhodnutí o dotaci doloží čestné prohlášení o tom, že není podnikem v</w:t>
      </w:r>
      <w:r w:rsidR="00E66ECE">
        <w:t> </w:t>
      </w:r>
      <w:r w:rsidRPr="00C36F48">
        <w:t>obtížích</w:t>
      </w:r>
      <w:r w:rsidR="00E66ECE">
        <w:t xml:space="preserve">, které je přílohou Pravidel pro žadatele a </w:t>
      </w:r>
      <w:r w:rsidR="00EF5708">
        <w:t>příjemce</w:t>
      </w:r>
      <w:r w:rsidR="00E66ECE">
        <w:t>.</w:t>
      </w:r>
    </w:p>
    <w:p w14:paraId="7223B670" w14:textId="0535FDEA" w:rsidR="00440E3A" w:rsidRPr="00C36F48" w:rsidRDefault="00440E3A" w:rsidP="0098240D">
      <w:pPr>
        <w:jc w:val="both"/>
      </w:pPr>
      <w:r w:rsidRPr="00C36F48">
        <w:t>Žadatel doloží výši finanční mezery pro stanovení veřejné podpory.</w:t>
      </w:r>
    </w:p>
    <w:p w14:paraId="5F1ADB46" w14:textId="77777777" w:rsidR="00440E3A" w:rsidRPr="00C36F48" w:rsidRDefault="00440E3A" w:rsidP="0098240D">
      <w:pPr>
        <w:jc w:val="both"/>
      </w:pPr>
      <w:r w:rsidRPr="00C36F48">
        <w:t xml:space="preserve">Žadatel bere na vědomí, že pro aplikaci čl. 56 GBER platí, že celková výše veřejné podpory nesmí přesáhnout 11 milionů EUR, nebo celkové náklady projektu nesmí přesáhnout 22 milionů EUR na tutéž infrastrukturu. </w:t>
      </w:r>
    </w:p>
    <w:p w14:paraId="245AFE8C" w14:textId="77777777" w:rsidR="00440E3A" w:rsidRPr="00C36F48" w:rsidRDefault="00440E3A" w:rsidP="0098240D">
      <w:pPr>
        <w:jc w:val="both"/>
      </w:pPr>
      <w:r w:rsidRPr="00C36F48">
        <w:t>Žadatel doloží údaje o všech podporách (i de minimis) čerpaných na daný projekt.</w:t>
      </w:r>
    </w:p>
    <w:p w14:paraId="0BCDE9E2" w14:textId="4D16A6F3" w:rsidR="00C36F48" w:rsidRPr="00C36F48" w:rsidRDefault="00440E3A" w:rsidP="0098240D">
      <w:pPr>
        <w:jc w:val="both"/>
      </w:pPr>
      <w:r w:rsidRPr="00C36F48">
        <w:t>Žadatel zajistí, aby infrastruktura (bytové domy) byla k dispozici uživatelům, kteří o to projeví zájem, za otevřených, transparentních a nediskriminačních podmínek. Cena účtovaná za užívání infrastruktury bude odpovídat ceně tržní (v místě a čase obvyklé).</w:t>
      </w:r>
    </w:p>
    <w:p w14:paraId="6FF07C91" w14:textId="3BC4BB59" w:rsidR="00440E3A" w:rsidRPr="000E44AC" w:rsidRDefault="00440E3A" w:rsidP="00870AF2">
      <w:pPr>
        <w:pStyle w:val="Nadpis2"/>
      </w:pPr>
      <w:bookmarkStart w:id="13" w:name="_Toc158099300"/>
      <w:r w:rsidRPr="000E44AC">
        <w:t>Podmínky pro kombinaci uvedených režimů</w:t>
      </w:r>
      <w:bookmarkEnd w:id="13"/>
    </w:p>
    <w:p w14:paraId="77E7C706" w14:textId="77777777" w:rsidR="00440E3A" w:rsidRPr="00C36F48" w:rsidRDefault="00440E3A" w:rsidP="00C36F48">
      <w:r w:rsidRPr="00C36F48">
        <w:t>Uvedené režimy financování lze kombinovat.</w:t>
      </w:r>
    </w:p>
    <w:p w14:paraId="2D68D02A" w14:textId="2AF1E209" w:rsidR="00440E3A" w:rsidRPr="00C36F48" w:rsidRDefault="00440E3A" w:rsidP="0098240D">
      <w:pPr>
        <w:jc w:val="both"/>
      </w:pPr>
      <w:r w:rsidRPr="00C36F48">
        <w:t>Veřejná podpora nebude kumulována s dalšími veřejnými podporami či podporami de minimis, pokud by taková kumulace vedla k překročení výše veřejné podpory nebo dalších podmínek stanovených příslušnými předpisy.</w:t>
      </w:r>
    </w:p>
    <w:p w14:paraId="7DA3FCB0" w14:textId="52372617" w:rsidR="00440E3A" w:rsidRPr="00CB2D62" w:rsidRDefault="00440E3A" w:rsidP="0098240D">
      <w:pPr>
        <w:pStyle w:val="Nzev"/>
        <w:jc w:val="both"/>
        <w:rPr>
          <w:rStyle w:val="Zdraznn"/>
          <w:rFonts w:eastAsiaTheme="minorHAnsi" w:cstheme="minorBidi"/>
          <w:spacing w:val="0"/>
          <w:kern w:val="0"/>
          <w:szCs w:val="22"/>
        </w:rPr>
      </w:pPr>
      <w:r w:rsidRPr="00CB2D62">
        <w:rPr>
          <w:rStyle w:val="Zdraznn"/>
        </w:rPr>
        <w:t>Postup</w:t>
      </w:r>
    </w:p>
    <w:p w14:paraId="343B1B10" w14:textId="54F6B8E7" w:rsidR="00AD30FF" w:rsidRDefault="00AD30FF" w:rsidP="0098240D">
      <w:pPr>
        <w:jc w:val="both"/>
      </w:pPr>
      <w:r>
        <w:t>Kombinaci režimů podpor musí žadatel velmi pečlivě zvážit, neboť každý režim má stanovenu řadu specifických podmínek, které nutno dodržet. Pokud by např. žadatel hodlal v rámci jednoho objektu zřídit a provozovat jednotky jak za tržní nájemné</w:t>
      </w:r>
      <w:r w:rsidR="00C535C8">
        <w:t xml:space="preserve"> (v režimu GBER)</w:t>
      </w:r>
      <w:r>
        <w:t xml:space="preserve">, tak také za snížené nájemné </w:t>
      </w:r>
      <w:r w:rsidR="00C535C8">
        <w:t>(v režimu SOHZ), musí již na začátku projektu uvažovat o jeho „rozdělení“ na příslušné účetně oddělené entity a na každou takovou entitu čerpat podporu v samostatném režimu.</w:t>
      </w:r>
    </w:p>
    <w:p w14:paraId="1721DECE" w14:textId="2A30FBDD" w:rsidR="00440E3A" w:rsidRPr="00C36F48" w:rsidRDefault="00440E3A" w:rsidP="0098240D">
      <w:pPr>
        <w:jc w:val="both"/>
      </w:pPr>
      <w:r w:rsidRPr="00C36F48">
        <w:t>Žadatel dodrží postupy a podmínky stanovené k příslušný</w:t>
      </w:r>
      <w:r w:rsidR="00AD30FF">
        <w:t>m</w:t>
      </w:r>
      <w:r w:rsidRPr="00C36F48">
        <w:t xml:space="preserve"> režimům, které pro financování projektu zvolí.</w:t>
      </w:r>
    </w:p>
    <w:p w14:paraId="604AE214" w14:textId="69D3D5B4" w:rsidR="00187776" w:rsidRPr="00AD0E0B" w:rsidRDefault="00440E3A" w:rsidP="00AA6756">
      <w:pPr>
        <w:jc w:val="both"/>
      </w:pPr>
      <w:r w:rsidRPr="00C36F48">
        <w:t>Žadatel doloží naplnění podmínek zvoleného režimu financování, a to zvlášť za každý režim.</w:t>
      </w:r>
    </w:p>
    <w:sectPr w:rsidR="00187776" w:rsidRPr="00AD0E0B" w:rsidSect="00921F16">
      <w:footerReference w:type="default" r:id="rId2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5CDE" w14:textId="77777777" w:rsidR="00ED61AC" w:rsidRDefault="00ED61AC" w:rsidP="00634381">
      <w:pPr>
        <w:spacing w:after="0" w:line="240" w:lineRule="auto"/>
      </w:pPr>
      <w:r>
        <w:separator/>
      </w:r>
    </w:p>
  </w:endnote>
  <w:endnote w:type="continuationSeparator" w:id="0">
    <w:p w14:paraId="5B8E085C" w14:textId="77777777" w:rsidR="00ED61AC" w:rsidRDefault="00ED61AC" w:rsidP="00634381">
      <w:pPr>
        <w:spacing w:after="0" w:line="240" w:lineRule="auto"/>
      </w:pPr>
      <w:r>
        <w:continuationSeparator/>
      </w:r>
    </w:p>
  </w:endnote>
  <w:endnote w:type="continuationNotice" w:id="1">
    <w:p w14:paraId="1E0EFEC4" w14:textId="77777777" w:rsidR="00ED61AC" w:rsidRDefault="00ED6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8200" w14:textId="77777777" w:rsidR="004C2FAC" w:rsidRDefault="004C2F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2390" w14:textId="77777777" w:rsidR="00921F16" w:rsidRDefault="00921F1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B04F" w14:textId="77777777" w:rsidR="004C2FAC" w:rsidRDefault="004C2FA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19924"/>
      <w:docPartObj>
        <w:docPartGallery w:val="Page Numbers (Bottom of Page)"/>
        <w:docPartUnique/>
      </w:docPartObj>
    </w:sdtPr>
    <w:sdtEndPr/>
    <w:sdtContent>
      <w:p w14:paraId="79604A64" w14:textId="77777777" w:rsidR="004C2FAC" w:rsidRDefault="004C2FAC">
        <w:pPr>
          <w:pStyle w:val="Zpat"/>
          <w:jc w:val="center"/>
        </w:pPr>
        <w:r>
          <w:fldChar w:fldCharType="begin"/>
        </w:r>
        <w:r>
          <w:instrText>PAGE   \* MERGEFORMAT</w:instrText>
        </w:r>
        <w:r>
          <w:fldChar w:fldCharType="separate"/>
        </w:r>
        <w:r>
          <w:t>2</w:t>
        </w:r>
        <w:r>
          <w:fldChar w:fldCharType="end"/>
        </w:r>
      </w:p>
    </w:sdtContent>
  </w:sdt>
  <w:p w14:paraId="7E12E725" w14:textId="77777777" w:rsidR="004C2FAC" w:rsidRDefault="004C2F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7529" w14:textId="77777777" w:rsidR="00ED61AC" w:rsidRDefault="00ED61AC" w:rsidP="00634381">
      <w:pPr>
        <w:spacing w:after="0" w:line="240" w:lineRule="auto"/>
      </w:pPr>
      <w:r>
        <w:separator/>
      </w:r>
    </w:p>
  </w:footnote>
  <w:footnote w:type="continuationSeparator" w:id="0">
    <w:p w14:paraId="0657D767" w14:textId="77777777" w:rsidR="00ED61AC" w:rsidRDefault="00ED61AC" w:rsidP="00634381">
      <w:pPr>
        <w:spacing w:after="0" w:line="240" w:lineRule="auto"/>
      </w:pPr>
      <w:r>
        <w:continuationSeparator/>
      </w:r>
    </w:p>
  </w:footnote>
  <w:footnote w:type="continuationNotice" w:id="1">
    <w:p w14:paraId="5F5FC946" w14:textId="77777777" w:rsidR="00ED61AC" w:rsidRDefault="00ED61AC">
      <w:pPr>
        <w:spacing w:after="0" w:line="240" w:lineRule="auto"/>
      </w:pPr>
    </w:p>
  </w:footnote>
  <w:footnote w:id="2">
    <w:p w14:paraId="01CE83E5" w14:textId="6706C878" w:rsidR="00BC0C0B" w:rsidRPr="004E7F99" w:rsidRDefault="00BC0C0B" w:rsidP="0098240D">
      <w:pPr>
        <w:pStyle w:val="pf0"/>
        <w:rPr>
          <w:rFonts w:cstheme="minorHAnsi"/>
        </w:rPr>
      </w:pPr>
      <w:r>
        <w:rPr>
          <w:rStyle w:val="Znakapoznpodarou"/>
        </w:rPr>
        <w:footnoteRef/>
      </w:r>
      <w:r>
        <w:t xml:space="preserve"> </w:t>
      </w:r>
      <w:r w:rsidRPr="0098240D">
        <w:rPr>
          <w:rFonts w:asciiTheme="minorHAnsi" w:hAnsiTheme="minorHAnsi" w:cstheme="minorHAnsi"/>
          <w:sz w:val="20"/>
          <w:szCs w:val="20"/>
        </w:rPr>
        <w:t>Aplikace příslušného Nařízení bude určena podle data právní účinnosti rozhodnutí o poskytnutí dotace.</w:t>
      </w:r>
    </w:p>
  </w:footnote>
  <w:footnote w:id="3">
    <w:p w14:paraId="10297468" w14:textId="77777777" w:rsidR="001E563B" w:rsidRPr="00C73FC2" w:rsidRDefault="001E563B" w:rsidP="001E563B">
      <w:pPr>
        <w:pStyle w:val="Textpoznpodarou"/>
        <w:jc w:val="both"/>
        <w:rPr>
          <w:rStyle w:val="BezmezerChar"/>
          <w:rFonts w:asciiTheme="minorHAnsi" w:hAnsiTheme="minorHAnsi" w:cstheme="minorHAnsi"/>
        </w:rPr>
      </w:pPr>
      <w:r w:rsidRPr="00A156D5">
        <w:rPr>
          <w:rStyle w:val="Znakapoznpodarou"/>
          <w:rFonts w:ascii="Arial" w:hAnsi="Arial" w:cs="Arial"/>
        </w:rPr>
        <w:footnoteRef/>
      </w:r>
      <w:r w:rsidRPr="00A156D5">
        <w:rPr>
          <w:rFonts w:ascii="Arial" w:hAnsi="Arial" w:cs="Arial"/>
        </w:rPr>
        <w:t xml:space="preserve"> </w:t>
      </w:r>
      <w:r w:rsidRPr="00C73FC2">
        <w:rPr>
          <w:rStyle w:val="BezmezerChar"/>
          <w:rFonts w:asciiTheme="minorHAnsi" w:hAnsiTheme="minorHAnsi" w:cstheme="minorHAnsi"/>
        </w:rPr>
        <w:t>K pojmu jeden podnik blíže Metodická příručka Úřadu pro ochranu hospodářské soutěže k aplikaci pojmu „jeden podnik“ z pohledu pravidel podpory de minimis dostupná na adrese https://www.uohs.cz/download/Sekce_VP/VP_update/prirucka-k-premenam-podniku-rev-kveten-2021.pdf</w:t>
      </w:r>
    </w:p>
  </w:footnote>
  <w:footnote w:id="4">
    <w:p w14:paraId="10ACFF2D" w14:textId="77777777" w:rsidR="00440E3A" w:rsidRPr="00A156D5" w:rsidRDefault="00440E3A" w:rsidP="004F59B2">
      <w:pPr>
        <w:pStyle w:val="Textpoznpodarou"/>
        <w:jc w:val="both"/>
        <w:rPr>
          <w:rFonts w:ascii="Arial" w:hAnsi="Arial" w:cs="Arial"/>
          <w:color w:val="000000" w:themeColor="text1"/>
        </w:rPr>
      </w:pPr>
      <w:r w:rsidRPr="00A156D5">
        <w:rPr>
          <w:rStyle w:val="Znakapoznpodarou"/>
          <w:rFonts w:ascii="Arial" w:hAnsi="Arial" w:cs="Arial"/>
          <w:color w:val="000000" w:themeColor="text1"/>
        </w:rPr>
        <w:footnoteRef/>
      </w:r>
      <w:r w:rsidRPr="00A156D5">
        <w:rPr>
          <w:rFonts w:ascii="Arial" w:hAnsi="Arial" w:cs="Arial"/>
          <w:color w:val="000000" w:themeColor="text1"/>
        </w:rPr>
        <w:t xml:space="preserve"> </w:t>
      </w:r>
      <w:r w:rsidRPr="00C73FC2">
        <w:rPr>
          <w:rStyle w:val="BezmezerChar"/>
          <w:rFonts w:asciiTheme="minorHAnsi" w:hAnsiTheme="minorHAnsi" w:cstheme="minorHAnsi"/>
        </w:rPr>
        <w:t>§ 3a zákona č. 215/2004 Sb., o úpravě některých vztahů v oblasti veřejné podpory a o změně zákona o podpoře výzkumu a vývoje.</w:t>
      </w:r>
    </w:p>
  </w:footnote>
  <w:footnote w:id="5">
    <w:p w14:paraId="689A8BF9" w14:textId="77777777" w:rsidR="00440E3A" w:rsidRPr="001225D6" w:rsidRDefault="00440E3A" w:rsidP="001225D6">
      <w:pPr>
        <w:pStyle w:val="Bezmezer"/>
        <w:rPr>
          <w:rFonts w:asciiTheme="minorHAnsi" w:hAnsiTheme="minorHAnsi" w:cstheme="minorHAnsi"/>
        </w:rPr>
      </w:pPr>
      <w:r w:rsidRPr="001225D6">
        <w:rPr>
          <w:rStyle w:val="Znakapoznpodarou"/>
          <w:rFonts w:asciiTheme="minorHAnsi" w:hAnsiTheme="minorHAnsi" w:cstheme="minorHAnsi"/>
        </w:rPr>
        <w:footnoteRef/>
      </w:r>
      <w:r w:rsidRPr="001225D6">
        <w:rPr>
          <w:rFonts w:asciiTheme="minorHAnsi" w:hAnsiTheme="minorHAnsi" w:cstheme="minorHAnsi"/>
        </w:rPr>
        <w:t xml:space="preserve"> Čl. 2 bod 18 </w:t>
      </w:r>
      <w:r w:rsidRPr="001225D6">
        <w:rPr>
          <w:rFonts w:asciiTheme="minorHAnsi" w:eastAsia="Calibri" w:hAnsiTheme="minorHAnsi" w:cstheme="minorHAnsi"/>
        </w:rPr>
        <w:t xml:space="preserve">Nařízení Komise (EU) č. 651/2014, kterým se v souladu s články 87 a 88 Smlouvy o ES prohlašují určité kategorie podpory za slučitelné se společným trhem, </w:t>
      </w:r>
      <w:r w:rsidRPr="001225D6">
        <w:rPr>
          <w:rFonts w:asciiTheme="minorHAnsi" w:hAnsiTheme="minorHAnsi" w:cstheme="minorHAnsi"/>
        </w:rPr>
        <w:t xml:space="preserve">Úř. věst. L 187, 26. 6. 2014, </w:t>
      </w:r>
      <w:r w:rsidRPr="001225D6">
        <w:rPr>
          <w:rFonts w:asciiTheme="minorHAnsi" w:eastAsia="Calibri" w:hAnsiTheme="minorHAnsi" w:cstheme="minorHAnsi"/>
        </w:rPr>
        <w:t>ve znění pozdějších předpisů (dále jen „GBER“).</w:t>
      </w:r>
    </w:p>
  </w:footnote>
  <w:footnote w:id="6">
    <w:p w14:paraId="0BF8BB6F" w14:textId="77777777" w:rsidR="00440E3A" w:rsidRPr="00DE3ACA" w:rsidRDefault="00440E3A" w:rsidP="001225D6">
      <w:pPr>
        <w:pStyle w:val="Bezmezer"/>
        <w:rPr>
          <w:rFonts w:cs="Arial"/>
          <w:color w:val="000000" w:themeColor="text1"/>
        </w:rPr>
      </w:pPr>
      <w:r w:rsidRPr="001225D6">
        <w:rPr>
          <w:rStyle w:val="Znakapoznpodarou"/>
          <w:rFonts w:asciiTheme="minorHAnsi" w:hAnsiTheme="minorHAnsi" w:cstheme="minorHAnsi"/>
          <w:color w:val="000000" w:themeColor="text1"/>
        </w:rPr>
        <w:footnoteRef/>
      </w:r>
      <w:r w:rsidRPr="001225D6">
        <w:rPr>
          <w:rFonts w:asciiTheme="minorHAnsi" w:hAnsiTheme="minorHAnsi" w:cstheme="minorHAnsi"/>
          <w:color w:val="000000" w:themeColor="text1"/>
        </w:rPr>
        <w:t xml:space="preserve"> § 3a zákona č. 215/2004 Sb., o úpravě některých vztahů v oblasti veřejné podpory a o změně zákona o podpoře výzkumu a vývoje.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E857" w14:textId="77777777" w:rsidR="004C2FAC" w:rsidRDefault="004C2FA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7725" w14:textId="52521630" w:rsidR="00A05BA9" w:rsidRDefault="00A05BA9">
    <w:pPr>
      <w:pStyle w:val="Zhlav"/>
    </w:pPr>
    <w:r>
      <w:rPr>
        <w:noProof/>
      </w:rPr>
      <w:drawing>
        <wp:inline distT="0" distB="0" distL="0" distR="0" wp14:anchorId="7A608658" wp14:editId="640EC9B7">
          <wp:extent cx="5743575" cy="6191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43575" cy="619125"/>
                  </a:xfrm>
                  <a:prstGeom prst="rect">
                    <a:avLst/>
                  </a:prstGeom>
                </pic:spPr>
              </pic:pic>
            </a:graphicData>
          </a:graphic>
        </wp:inline>
      </w:drawing>
    </w:r>
  </w:p>
  <w:p w14:paraId="46ABBD8F" w14:textId="2E1B22D6" w:rsidR="008572CA" w:rsidRDefault="008572C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8D66" w14:textId="77777777" w:rsidR="004C2FAC" w:rsidRDefault="004C2F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E3D"/>
    <w:multiLevelType w:val="hybridMultilevel"/>
    <w:tmpl w:val="77846418"/>
    <w:lvl w:ilvl="0" w:tplc="7CD0DA9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A61D86"/>
    <w:multiLevelType w:val="hybridMultilevel"/>
    <w:tmpl w:val="1C508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A125973"/>
    <w:multiLevelType w:val="hybridMultilevel"/>
    <w:tmpl w:val="6C8CBC9E"/>
    <w:lvl w:ilvl="0" w:tplc="AF26D0AC">
      <w:start w:val="1"/>
      <w:numFmt w:val="bullet"/>
      <w:lvlText w:val=""/>
      <w:lvlJc w:val="left"/>
      <w:pPr>
        <w:ind w:left="720" w:hanging="360"/>
      </w:pPr>
      <w:rPr>
        <w:rFonts w:ascii="Symbol" w:hAnsi="Symbol" w:hint="default"/>
        <w:color w:val="4F81BD"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C41226"/>
    <w:multiLevelType w:val="hybridMultilevel"/>
    <w:tmpl w:val="6CC06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8" w15:restartNumberingAfterBreak="0">
    <w:nsid w:val="1FB47D0E"/>
    <w:multiLevelType w:val="hybridMultilevel"/>
    <w:tmpl w:val="F36AF292"/>
    <w:lvl w:ilvl="0" w:tplc="867E28D8">
      <w:start w:val="1"/>
      <w:numFmt w:val="bullet"/>
      <w:lvlText w:val=""/>
      <w:lvlJc w:val="left"/>
      <w:pPr>
        <w:ind w:left="360" w:hanging="360"/>
      </w:pPr>
      <w:rPr>
        <w:rFonts w:ascii="Symbol" w:hAnsi="Symbol" w:hint="default"/>
        <w:color w:val="4F81BD" w:themeColor="accen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401634D"/>
    <w:multiLevelType w:val="hybridMultilevel"/>
    <w:tmpl w:val="76366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EE05E3"/>
    <w:multiLevelType w:val="hybridMultilevel"/>
    <w:tmpl w:val="702A6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003702"/>
    <w:multiLevelType w:val="hybridMultilevel"/>
    <w:tmpl w:val="EBAA9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A3CED"/>
    <w:multiLevelType w:val="hybridMultilevel"/>
    <w:tmpl w:val="9F76EE0A"/>
    <w:lvl w:ilvl="0" w:tplc="9358331C">
      <w:start w:val="1"/>
      <w:numFmt w:val="decimal"/>
      <w:pStyle w:val="Nadpis2"/>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E6592E"/>
    <w:multiLevelType w:val="hybridMultilevel"/>
    <w:tmpl w:val="0DB40B48"/>
    <w:lvl w:ilvl="0" w:tplc="ED5C6550">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B868A7"/>
    <w:multiLevelType w:val="hybridMultilevel"/>
    <w:tmpl w:val="53E27A2C"/>
    <w:lvl w:ilvl="0" w:tplc="ED5C6550">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5574B7"/>
    <w:multiLevelType w:val="hybridMultilevel"/>
    <w:tmpl w:val="1C5084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A30199"/>
    <w:multiLevelType w:val="hybridMultilevel"/>
    <w:tmpl w:val="EC9A6B4C"/>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3B8A4C8B"/>
    <w:multiLevelType w:val="hybridMultilevel"/>
    <w:tmpl w:val="5CB87116"/>
    <w:lvl w:ilvl="0" w:tplc="ED5C6550">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C63B6D"/>
    <w:multiLevelType w:val="hybridMultilevel"/>
    <w:tmpl w:val="20A843BE"/>
    <w:lvl w:ilvl="0" w:tplc="04050001">
      <w:start w:val="1"/>
      <w:numFmt w:val="bullet"/>
      <w:lvlText w:val=""/>
      <w:lvlJc w:val="left"/>
      <w:pPr>
        <w:ind w:left="1156" w:hanging="360"/>
      </w:pPr>
      <w:rPr>
        <w:rFonts w:ascii="Symbol" w:hAnsi="Symbol"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25" w15:restartNumberingAfterBreak="0">
    <w:nsid w:val="3E0C1679"/>
    <w:multiLevelType w:val="hybridMultilevel"/>
    <w:tmpl w:val="AAB45790"/>
    <w:lvl w:ilvl="0" w:tplc="C43CB92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0DD1596"/>
    <w:multiLevelType w:val="multilevel"/>
    <w:tmpl w:val="C3041EBA"/>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5E4213"/>
    <w:multiLevelType w:val="hybridMultilevel"/>
    <w:tmpl w:val="08F28B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47C47087"/>
    <w:multiLevelType w:val="hybridMultilevel"/>
    <w:tmpl w:val="B54EE654"/>
    <w:lvl w:ilvl="0" w:tplc="E81ABE22">
      <w:start w:val="1"/>
      <w:numFmt w:val="bullet"/>
      <w:lvlText w:val=""/>
      <w:lvlJc w:val="left"/>
      <w:pPr>
        <w:ind w:left="360" w:hanging="360"/>
      </w:pPr>
      <w:rPr>
        <w:rFonts w:ascii="Symbol" w:hAnsi="Symbol" w:hint="default"/>
        <w:color w:val="4F81BD" w:themeColor="accen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4E997903"/>
    <w:multiLevelType w:val="hybridMultilevel"/>
    <w:tmpl w:val="52E2FB26"/>
    <w:lvl w:ilvl="0" w:tplc="4C1A00DE">
      <w:start w:val="1"/>
      <w:numFmt w:val="bullet"/>
      <w:lvlText w:val="-"/>
      <w:lvlJc w:val="left"/>
      <w:pPr>
        <w:ind w:left="1077" w:hanging="360"/>
      </w:pPr>
      <w:rPr>
        <w:rFonts w:ascii="Calibri" w:eastAsiaTheme="minorHAnsi" w:hAnsi="Calibri" w:cs="Calibri"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3"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F43067C"/>
    <w:multiLevelType w:val="hybridMultilevel"/>
    <w:tmpl w:val="B5B469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2F70234"/>
    <w:multiLevelType w:val="hybridMultilevel"/>
    <w:tmpl w:val="9A7E68A2"/>
    <w:lvl w:ilvl="0" w:tplc="B4BCFE18">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7" w15:restartNumberingAfterBreak="0">
    <w:nsid w:val="55AC0074"/>
    <w:multiLevelType w:val="hybridMultilevel"/>
    <w:tmpl w:val="B0DEA49C"/>
    <w:lvl w:ilvl="0" w:tplc="7852664C">
      <w:start w:val="1"/>
      <w:numFmt w:val="bullet"/>
      <w:lvlText w:val=""/>
      <w:lvlJc w:val="left"/>
      <w:pPr>
        <w:ind w:left="720" w:hanging="360"/>
      </w:pPr>
      <w:rPr>
        <w:rFonts w:ascii="Symbol" w:hAnsi="Symbol" w:hint="default"/>
        <w:color w:val="4F81BD"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0E0413F"/>
    <w:multiLevelType w:val="hybridMultilevel"/>
    <w:tmpl w:val="9B7437B6"/>
    <w:lvl w:ilvl="0" w:tplc="ED5C6550">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D34DE4"/>
    <w:multiLevelType w:val="hybridMultilevel"/>
    <w:tmpl w:val="21447B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42"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3C632A9"/>
    <w:multiLevelType w:val="hybridMultilevel"/>
    <w:tmpl w:val="1DB06C9A"/>
    <w:lvl w:ilvl="0" w:tplc="ED5C6550">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8D547B5"/>
    <w:multiLevelType w:val="hybridMultilevel"/>
    <w:tmpl w:val="3DAE9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B6D69C9"/>
    <w:multiLevelType w:val="hybridMultilevel"/>
    <w:tmpl w:val="9D32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F67C0D"/>
    <w:multiLevelType w:val="hybridMultilevel"/>
    <w:tmpl w:val="5058BCB4"/>
    <w:lvl w:ilvl="0" w:tplc="D25CD34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67EDE">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EE0386">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A6CBC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B895D0">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8C8786">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829BC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DE571E">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A25CA2">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F5E0232"/>
    <w:multiLevelType w:val="hybridMultilevel"/>
    <w:tmpl w:val="4BE045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3311513">
    <w:abstractNumId w:val="14"/>
  </w:num>
  <w:num w:numId="2" w16cid:durableId="1251818257">
    <w:abstractNumId w:val="15"/>
  </w:num>
  <w:num w:numId="3" w16cid:durableId="1336497717">
    <w:abstractNumId w:val="17"/>
  </w:num>
  <w:num w:numId="4" w16cid:durableId="409743346">
    <w:abstractNumId w:val="39"/>
  </w:num>
  <w:num w:numId="5" w16cid:durableId="1490169154">
    <w:abstractNumId w:val="4"/>
  </w:num>
  <w:num w:numId="6" w16cid:durableId="1668512873">
    <w:abstractNumId w:val="33"/>
  </w:num>
  <w:num w:numId="7" w16cid:durableId="725758646">
    <w:abstractNumId w:val="5"/>
  </w:num>
  <w:num w:numId="8" w16cid:durableId="594095421">
    <w:abstractNumId w:val="6"/>
  </w:num>
  <w:num w:numId="9" w16cid:durableId="25100635">
    <w:abstractNumId w:val="23"/>
  </w:num>
  <w:num w:numId="10" w16cid:durableId="1032657175">
    <w:abstractNumId w:val="1"/>
  </w:num>
  <w:num w:numId="11" w16cid:durableId="805438495">
    <w:abstractNumId w:val="41"/>
  </w:num>
  <w:num w:numId="12" w16cid:durableId="707413260">
    <w:abstractNumId w:val="27"/>
  </w:num>
  <w:num w:numId="13" w16cid:durableId="1457673969">
    <w:abstractNumId w:val="5"/>
    <w:lvlOverride w:ilvl="0">
      <w:startOverride w:val="1"/>
    </w:lvlOverride>
  </w:num>
  <w:num w:numId="14" w16cid:durableId="1642689451">
    <w:abstractNumId w:val="34"/>
  </w:num>
  <w:num w:numId="15" w16cid:durableId="574125072">
    <w:abstractNumId w:val="7"/>
  </w:num>
  <w:num w:numId="16" w16cid:durableId="706756210">
    <w:abstractNumId w:val="31"/>
  </w:num>
  <w:num w:numId="17" w16cid:durableId="219249810">
    <w:abstractNumId w:val="30"/>
  </w:num>
  <w:num w:numId="18" w16cid:durableId="1548566577">
    <w:abstractNumId w:val="13"/>
  </w:num>
  <w:num w:numId="19" w16cid:durableId="604773966">
    <w:abstractNumId w:val="35"/>
  </w:num>
  <w:num w:numId="20" w16cid:durableId="1509448485">
    <w:abstractNumId w:val="40"/>
  </w:num>
  <w:num w:numId="21" w16cid:durableId="1744525217">
    <w:abstractNumId w:val="9"/>
  </w:num>
  <w:num w:numId="22" w16cid:durableId="1034424815">
    <w:abstractNumId w:val="45"/>
  </w:num>
  <w:num w:numId="23" w16cid:durableId="1370568004">
    <w:abstractNumId w:val="44"/>
  </w:num>
  <w:num w:numId="24" w16cid:durableId="18355042">
    <w:abstractNumId w:val="28"/>
  </w:num>
  <w:num w:numId="25" w16cid:durableId="1149513128">
    <w:abstractNumId w:val="11"/>
  </w:num>
  <w:num w:numId="26" w16cid:durableId="1343506183">
    <w:abstractNumId w:val="42"/>
  </w:num>
  <w:num w:numId="27" w16cid:durableId="221450867">
    <w:abstractNumId w:val="12"/>
  </w:num>
  <w:num w:numId="28" w16cid:durableId="1536888241">
    <w:abstractNumId w:val="24"/>
  </w:num>
  <w:num w:numId="29" w16cid:durableId="753935686">
    <w:abstractNumId w:val="0"/>
  </w:num>
  <w:num w:numId="30" w16cid:durableId="1247763105">
    <w:abstractNumId w:val="10"/>
  </w:num>
  <w:num w:numId="31" w16cid:durableId="2114588314">
    <w:abstractNumId w:val="20"/>
  </w:num>
  <w:num w:numId="32" w16cid:durableId="1314143278">
    <w:abstractNumId w:val="43"/>
  </w:num>
  <w:num w:numId="33" w16cid:durableId="1584954146">
    <w:abstractNumId w:val="48"/>
  </w:num>
  <w:num w:numId="34" w16cid:durableId="2038462454">
    <w:abstractNumId w:val="25"/>
  </w:num>
  <w:num w:numId="35" w16cid:durableId="1522234548">
    <w:abstractNumId w:val="38"/>
  </w:num>
  <w:num w:numId="36" w16cid:durableId="821044173">
    <w:abstractNumId w:val="22"/>
  </w:num>
  <w:num w:numId="37" w16cid:durableId="1608925743">
    <w:abstractNumId w:val="47"/>
  </w:num>
  <w:num w:numId="38" w16cid:durableId="1418137268">
    <w:abstractNumId w:val="2"/>
  </w:num>
  <w:num w:numId="39" w16cid:durableId="404181031">
    <w:abstractNumId w:val="32"/>
  </w:num>
  <w:num w:numId="40" w16cid:durableId="559247448">
    <w:abstractNumId w:val="21"/>
  </w:num>
  <w:num w:numId="41" w16cid:durableId="1038824132">
    <w:abstractNumId w:val="36"/>
  </w:num>
  <w:num w:numId="42" w16cid:durableId="1485321110">
    <w:abstractNumId w:val="19"/>
  </w:num>
  <w:num w:numId="43" w16cid:durableId="851722778">
    <w:abstractNumId w:val="18"/>
  </w:num>
  <w:num w:numId="44" w16cid:durableId="103351195">
    <w:abstractNumId w:val="16"/>
  </w:num>
  <w:num w:numId="45" w16cid:durableId="2142338419">
    <w:abstractNumId w:val="46"/>
  </w:num>
  <w:num w:numId="46" w16cid:durableId="99109893">
    <w:abstractNumId w:val="3"/>
  </w:num>
  <w:num w:numId="47" w16cid:durableId="976959446">
    <w:abstractNumId w:val="37"/>
  </w:num>
  <w:num w:numId="48" w16cid:durableId="329405667">
    <w:abstractNumId w:val="29"/>
  </w:num>
  <w:num w:numId="49" w16cid:durableId="1560702147">
    <w:abstractNumId w:val="26"/>
  </w:num>
  <w:num w:numId="50" w16cid:durableId="1263880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149C"/>
    <w:rsid w:val="000122E6"/>
    <w:rsid w:val="000136A7"/>
    <w:rsid w:val="00014F63"/>
    <w:rsid w:val="0001578B"/>
    <w:rsid w:val="000208E2"/>
    <w:rsid w:val="00030F5A"/>
    <w:rsid w:val="00036A3E"/>
    <w:rsid w:val="00043BEC"/>
    <w:rsid w:val="00044DB9"/>
    <w:rsid w:val="000455EB"/>
    <w:rsid w:val="0005030D"/>
    <w:rsid w:val="0005496E"/>
    <w:rsid w:val="0005599F"/>
    <w:rsid w:val="00055CD3"/>
    <w:rsid w:val="0005663F"/>
    <w:rsid w:val="00057100"/>
    <w:rsid w:val="00057399"/>
    <w:rsid w:val="00057C7F"/>
    <w:rsid w:val="00060106"/>
    <w:rsid w:val="00066444"/>
    <w:rsid w:val="00070FE9"/>
    <w:rsid w:val="000721F8"/>
    <w:rsid w:val="00072340"/>
    <w:rsid w:val="00077C66"/>
    <w:rsid w:val="00083941"/>
    <w:rsid w:val="000852DF"/>
    <w:rsid w:val="00085318"/>
    <w:rsid w:val="000855EE"/>
    <w:rsid w:val="000866E6"/>
    <w:rsid w:val="000929B4"/>
    <w:rsid w:val="00096838"/>
    <w:rsid w:val="000A5206"/>
    <w:rsid w:val="000A569C"/>
    <w:rsid w:val="000A6AB4"/>
    <w:rsid w:val="000B5C1F"/>
    <w:rsid w:val="000B5F15"/>
    <w:rsid w:val="000B688B"/>
    <w:rsid w:val="000C7C5F"/>
    <w:rsid w:val="000D460A"/>
    <w:rsid w:val="000D7CA1"/>
    <w:rsid w:val="000E013D"/>
    <w:rsid w:val="000E276B"/>
    <w:rsid w:val="000E4312"/>
    <w:rsid w:val="000E44AC"/>
    <w:rsid w:val="000E4DD3"/>
    <w:rsid w:val="000E61EE"/>
    <w:rsid w:val="000F21FB"/>
    <w:rsid w:val="000F6876"/>
    <w:rsid w:val="00102CAB"/>
    <w:rsid w:val="0010305A"/>
    <w:rsid w:val="00103148"/>
    <w:rsid w:val="00106FBD"/>
    <w:rsid w:val="001225D6"/>
    <w:rsid w:val="00122F9F"/>
    <w:rsid w:val="00132C42"/>
    <w:rsid w:val="001336C7"/>
    <w:rsid w:val="00134E34"/>
    <w:rsid w:val="00137919"/>
    <w:rsid w:val="00137E97"/>
    <w:rsid w:val="00141C5B"/>
    <w:rsid w:val="00141F3E"/>
    <w:rsid w:val="00143E11"/>
    <w:rsid w:val="00143F3A"/>
    <w:rsid w:val="001517F0"/>
    <w:rsid w:val="00152531"/>
    <w:rsid w:val="0015594C"/>
    <w:rsid w:val="00155A3F"/>
    <w:rsid w:val="00171393"/>
    <w:rsid w:val="00171EED"/>
    <w:rsid w:val="00174CA1"/>
    <w:rsid w:val="00183359"/>
    <w:rsid w:val="00184027"/>
    <w:rsid w:val="00187776"/>
    <w:rsid w:val="0019393F"/>
    <w:rsid w:val="00197077"/>
    <w:rsid w:val="001B1502"/>
    <w:rsid w:val="001B37E4"/>
    <w:rsid w:val="001B7408"/>
    <w:rsid w:val="001C266B"/>
    <w:rsid w:val="001C3E0E"/>
    <w:rsid w:val="001C6B3B"/>
    <w:rsid w:val="001C7491"/>
    <w:rsid w:val="001C792D"/>
    <w:rsid w:val="001D292A"/>
    <w:rsid w:val="001D2A83"/>
    <w:rsid w:val="001D4761"/>
    <w:rsid w:val="001E18AA"/>
    <w:rsid w:val="001E245C"/>
    <w:rsid w:val="001E4FFD"/>
    <w:rsid w:val="001E563B"/>
    <w:rsid w:val="001E7682"/>
    <w:rsid w:val="001F0322"/>
    <w:rsid w:val="001F2410"/>
    <w:rsid w:val="001F3266"/>
    <w:rsid w:val="001F43CB"/>
    <w:rsid w:val="001F575D"/>
    <w:rsid w:val="001F6836"/>
    <w:rsid w:val="001F746C"/>
    <w:rsid w:val="002011C3"/>
    <w:rsid w:val="0020476A"/>
    <w:rsid w:val="00204D9A"/>
    <w:rsid w:val="0020609C"/>
    <w:rsid w:val="00207562"/>
    <w:rsid w:val="00213558"/>
    <w:rsid w:val="0021750B"/>
    <w:rsid w:val="002207B9"/>
    <w:rsid w:val="00221CF2"/>
    <w:rsid w:val="002239E8"/>
    <w:rsid w:val="002265AB"/>
    <w:rsid w:val="00231A78"/>
    <w:rsid w:val="00231F50"/>
    <w:rsid w:val="0023680F"/>
    <w:rsid w:val="002372F4"/>
    <w:rsid w:val="002412BC"/>
    <w:rsid w:val="00243A41"/>
    <w:rsid w:val="00243CB8"/>
    <w:rsid w:val="002442B8"/>
    <w:rsid w:val="00245A55"/>
    <w:rsid w:val="002552E9"/>
    <w:rsid w:val="00257542"/>
    <w:rsid w:val="00257788"/>
    <w:rsid w:val="00261941"/>
    <w:rsid w:val="0026250F"/>
    <w:rsid w:val="0026252B"/>
    <w:rsid w:val="0027381E"/>
    <w:rsid w:val="002748BB"/>
    <w:rsid w:val="002821CC"/>
    <w:rsid w:val="002854DB"/>
    <w:rsid w:val="00286C01"/>
    <w:rsid w:val="00292BA0"/>
    <w:rsid w:val="002932D8"/>
    <w:rsid w:val="002A27C8"/>
    <w:rsid w:val="002A7B26"/>
    <w:rsid w:val="002B368E"/>
    <w:rsid w:val="002B52FE"/>
    <w:rsid w:val="002B6556"/>
    <w:rsid w:val="002C177C"/>
    <w:rsid w:val="002C3B8D"/>
    <w:rsid w:val="002C572D"/>
    <w:rsid w:val="002C69A1"/>
    <w:rsid w:val="002C7481"/>
    <w:rsid w:val="002D6115"/>
    <w:rsid w:val="002E1CE1"/>
    <w:rsid w:val="002E6894"/>
    <w:rsid w:val="00302C7F"/>
    <w:rsid w:val="003047B1"/>
    <w:rsid w:val="00305383"/>
    <w:rsid w:val="00316005"/>
    <w:rsid w:val="00320082"/>
    <w:rsid w:val="00323F9E"/>
    <w:rsid w:val="0032525C"/>
    <w:rsid w:val="0032577E"/>
    <w:rsid w:val="003343E4"/>
    <w:rsid w:val="003360D0"/>
    <w:rsid w:val="0033701E"/>
    <w:rsid w:val="0033728D"/>
    <w:rsid w:val="0034193D"/>
    <w:rsid w:val="00345415"/>
    <w:rsid w:val="00350CB4"/>
    <w:rsid w:val="00352829"/>
    <w:rsid w:val="00353C85"/>
    <w:rsid w:val="003543A6"/>
    <w:rsid w:val="0035528D"/>
    <w:rsid w:val="00362516"/>
    <w:rsid w:val="00364C12"/>
    <w:rsid w:val="003672B0"/>
    <w:rsid w:val="00367624"/>
    <w:rsid w:val="003753BF"/>
    <w:rsid w:val="003766DC"/>
    <w:rsid w:val="00381392"/>
    <w:rsid w:val="00381FCD"/>
    <w:rsid w:val="00382634"/>
    <w:rsid w:val="00382EA0"/>
    <w:rsid w:val="00384C4C"/>
    <w:rsid w:val="003861CE"/>
    <w:rsid w:val="00390A6C"/>
    <w:rsid w:val="003939B0"/>
    <w:rsid w:val="0039611F"/>
    <w:rsid w:val="003A0533"/>
    <w:rsid w:val="003A1C64"/>
    <w:rsid w:val="003A442E"/>
    <w:rsid w:val="003A52C4"/>
    <w:rsid w:val="003B1000"/>
    <w:rsid w:val="003B60B6"/>
    <w:rsid w:val="003C3830"/>
    <w:rsid w:val="003C66FA"/>
    <w:rsid w:val="003C67B4"/>
    <w:rsid w:val="003C6B60"/>
    <w:rsid w:val="003D13DD"/>
    <w:rsid w:val="003D5845"/>
    <w:rsid w:val="003D5D97"/>
    <w:rsid w:val="003F30FE"/>
    <w:rsid w:val="003F6935"/>
    <w:rsid w:val="00401D28"/>
    <w:rsid w:val="004113D5"/>
    <w:rsid w:val="0041598A"/>
    <w:rsid w:val="00415AEE"/>
    <w:rsid w:val="00433D1E"/>
    <w:rsid w:val="004343F1"/>
    <w:rsid w:val="004408B1"/>
    <w:rsid w:val="00440E3A"/>
    <w:rsid w:val="004449C3"/>
    <w:rsid w:val="00446EC5"/>
    <w:rsid w:val="004668C2"/>
    <w:rsid w:val="004730D4"/>
    <w:rsid w:val="00473E69"/>
    <w:rsid w:val="004770A6"/>
    <w:rsid w:val="00481AF3"/>
    <w:rsid w:val="00482EA1"/>
    <w:rsid w:val="00483E97"/>
    <w:rsid w:val="004849AE"/>
    <w:rsid w:val="00486137"/>
    <w:rsid w:val="00486C7D"/>
    <w:rsid w:val="00487AE8"/>
    <w:rsid w:val="00491012"/>
    <w:rsid w:val="004A0215"/>
    <w:rsid w:val="004A0682"/>
    <w:rsid w:val="004A0DC1"/>
    <w:rsid w:val="004A1687"/>
    <w:rsid w:val="004A323F"/>
    <w:rsid w:val="004A4BD7"/>
    <w:rsid w:val="004A55CA"/>
    <w:rsid w:val="004B24BB"/>
    <w:rsid w:val="004B2990"/>
    <w:rsid w:val="004C14C5"/>
    <w:rsid w:val="004C1FEB"/>
    <w:rsid w:val="004C2FAC"/>
    <w:rsid w:val="004C74D2"/>
    <w:rsid w:val="004D44DC"/>
    <w:rsid w:val="004D5710"/>
    <w:rsid w:val="004D65FF"/>
    <w:rsid w:val="004E4AA7"/>
    <w:rsid w:val="004E6082"/>
    <w:rsid w:val="004E7F99"/>
    <w:rsid w:val="004F3D4D"/>
    <w:rsid w:val="004F59B2"/>
    <w:rsid w:val="004F5EDC"/>
    <w:rsid w:val="0050490F"/>
    <w:rsid w:val="00505848"/>
    <w:rsid w:val="00520431"/>
    <w:rsid w:val="005211DB"/>
    <w:rsid w:val="00523E34"/>
    <w:rsid w:val="00524A63"/>
    <w:rsid w:val="00524BD8"/>
    <w:rsid w:val="00526EDC"/>
    <w:rsid w:val="0053396E"/>
    <w:rsid w:val="00541C52"/>
    <w:rsid w:val="00546D5F"/>
    <w:rsid w:val="0055028E"/>
    <w:rsid w:val="0055065D"/>
    <w:rsid w:val="005566F4"/>
    <w:rsid w:val="00557F92"/>
    <w:rsid w:val="0056072C"/>
    <w:rsid w:val="0056482C"/>
    <w:rsid w:val="00570383"/>
    <w:rsid w:val="0057190E"/>
    <w:rsid w:val="005725DD"/>
    <w:rsid w:val="00572BF4"/>
    <w:rsid w:val="00576EF1"/>
    <w:rsid w:val="00583CF5"/>
    <w:rsid w:val="00585341"/>
    <w:rsid w:val="0059589A"/>
    <w:rsid w:val="00596086"/>
    <w:rsid w:val="005A012C"/>
    <w:rsid w:val="005A160B"/>
    <w:rsid w:val="005A769E"/>
    <w:rsid w:val="005B4B55"/>
    <w:rsid w:val="005B64B6"/>
    <w:rsid w:val="005B7EA5"/>
    <w:rsid w:val="005B7FFE"/>
    <w:rsid w:val="005C3EC4"/>
    <w:rsid w:val="005C55B9"/>
    <w:rsid w:val="005C6291"/>
    <w:rsid w:val="005C62B7"/>
    <w:rsid w:val="005C79C0"/>
    <w:rsid w:val="005D79C8"/>
    <w:rsid w:val="005E14D4"/>
    <w:rsid w:val="005E4A47"/>
    <w:rsid w:val="005E4C33"/>
    <w:rsid w:val="005E5868"/>
    <w:rsid w:val="005E6D5B"/>
    <w:rsid w:val="005E7F63"/>
    <w:rsid w:val="005F01E8"/>
    <w:rsid w:val="005F02EF"/>
    <w:rsid w:val="005F0D26"/>
    <w:rsid w:val="005F5488"/>
    <w:rsid w:val="005F7F9C"/>
    <w:rsid w:val="006015BA"/>
    <w:rsid w:val="0060422B"/>
    <w:rsid w:val="00610930"/>
    <w:rsid w:val="00620E26"/>
    <w:rsid w:val="006221F8"/>
    <w:rsid w:val="00623785"/>
    <w:rsid w:val="00632B48"/>
    <w:rsid w:val="00632BC6"/>
    <w:rsid w:val="00634381"/>
    <w:rsid w:val="0063506C"/>
    <w:rsid w:val="00635FC7"/>
    <w:rsid w:val="00641887"/>
    <w:rsid w:val="006452B8"/>
    <w:rsid w:val="00647234"/>
    <w:rsid w:val="006501F5"/>
    <w:rsid w:val="006560F0"/>
    <w:rsid w:val="00656F30"/>
    <w:rsid w:val="00657BFA"/>
    <w:rsid w:val="00667162"/>
    <w:rsid w:val="00671572"/>
    <w:rsid w:val="006725F4"/>
    <w:rsid w:val="0067736D"/>
    <w:rsid w:val="006803CD"/>
    <w:rsid w:val="00682152"/>
    <w:rsid w:val="006837D7"/>
    <w:rsid w:val="00691BCF"/>
    <w:rsid w:val="0069719B"/>
    <w:rsid w:val="006972F0"/>
    <w:rsid w:val="006A6DD1"/>
    <w:rsid w:val="006B08A0"/>
    <w:rsid w:val="006B1517"/>
    <w:rsid w:val="006B3331"/>
    <w:rsid w:val="006B3868"/>
    <w:rsid w:val="006B3982"/>
    <w:rsid w:val="006C3A36"/>
    <w:rsid w:val="006C5A66"/>
    <w:rsid w:val="006C7D86"/>
    <w:rsid w:val="006D0BEA"/>
    <w:rsid w:val="006D1C44"/>
    <w:rsid w:val="006E44D0"/>
    <w:rsid w:val="006E5AFC"/>
    <w:rsid w:val="006E5C82"/>
    <w:rsid w:val="006E72F1"/>
    <w:rsid w:val="006F0FD9"/>
    <w:rsid w:val="006F3E67"/>
    <w:rsid w:val="006F46EA"/>
    <w:rsid w:val="006F7985"/>
    <w:rsid w:val="00702EEE"/>
    <w:rsid w:val="007043C9"/>
    <w:rsid w:val="007108F6"/>
    <w:rsid w:val="007117A4"/>
    <w:rsid w:val="00714FD6"/>
    <w:rsid w:val="00722201"/>
    <w:rsid w:val="00722EA1"/>
    <w:rsid w:val="00730A46"/>
    <w:rsid w:val="0075089F"/>
    <w:rsid w:val="00751C73"/>
    <w:rsid w:val="00752664"/>
    <w:rsid w:val="00754349"/>
    <w:rsid w:val="0075715C"/>
    <w:rsid w:val="00757BD7"/>
    <w:rsid w:val="007609D8"/>
    <w:rsid w:val="00763129"/>
    <w:rsid w:val="0076431E"/>
    <w:rsid w:val="0076574B"/>
    <w:rsid w:val="007664AA"/>
    <w:rsid w:val="00781B5C"/>
    <w:rsid w:val="00786C27"/>
    <w:rsid w:val="00793062"/>
    <w:rsid w:val="0079658C"/>
    <w:rsid w:val="007A65CB"/>
    <w:rsid w:val="007B5A1C"/>
    <w:rsid w:val="007C0922"/>
    <w:rsid w:val="007C0AB0"/>
    <w:rsid w:val="007C0F78"/>
    <w:rsid w:val="007C513A"/>
    <w:rsid w:val="007C522C"/>
    <w:rsid w:val="007C55C6"/>
    <w:rsid w:val="007D2576"/>
    <w:rsid w:val="007D4670"/>
    <w:rsid w:val="007D7779"/>
    <w:rsid w:val="007E53BF"/>
    <w:rsid w:val="007F1814"/>
    <w:rsid w:val="007F57DD"/>
    <w:rsid w:val="007F76A5"/>
    <w:rsid w:val="007F7C42"/>
    <w:rsid w:val="007F7FEA"/>
    <w:rsid w:val="008005E0"/>
    <w:rsid w:val="008032AD"/>
    <w:rsid w:val="00804494"/>
    <w:rsid w:val="008107DB"/>
    <w:rsid w:val="00814A94"/>
    <w:rsid w:val="00817EFD"/>
    <w:rsid w:val="00824C5E"/>
    <w:rsid w:val="00825918"/>
    <w:rsid w:val="00830417"/>
    <w:rsid w:val="0083207B"/>
    <w:rsid w:val="00837B9D"/>
    <w:rsid w:val="00841204"/>
    <w:rsid w:val="00844F3C"/>
    <w:rsid w:val="008572CA"/>
    <w:rsid w:val="00870AF2"/>
    <w:rsid w:val="008716F6"/>
    <w:rsid w:val="008728F5"/>
    <w:rsid w:val="00874DB4"/>
    <w:rsid w:val="008812C3"/>
    <w:rsid w:val="00884241"/>
    <w:rsid w:val="0088426A"/>
    <w:rsid w:val="00885D11"/>
    <w:rsid w:val="00893A79"/>
    <w:rsid w:val="00895CD7"/>
    <w:rsid w:val="008A1CE7"/>
    <w:rsid w:val="008A3E67"/>
    <w:rsid w:val="008A5F96"/>
    <w:rsid w:val="008B7BB5"/>
    <w:rsid w:val="008B7DD4"/>
    <w:rsid w:val="008C27DF"/>
    <w:rsid w:val="008C5A6B"/>
    <w:rsid w:val="008C6B94"/>
    <w:rsid w:val="008C7A51"/>
    <w:rsid w:val="008D5811"/>
    <w:rsid w:val="008D6E1E"/>
    <w:rsid w:val="008D771C"/>
    <w:rsid w:val="008E0388"/>
    <w:rsid w:val="008E20CB"/>
    <w:rsid w:val="008E4C9B"/>
    <w:rsid w:val="008E58DA"/>
    <w:rsid w:val="008E6A6B"/>
    <w:rsid w:val="008F2089"/>
    <w:rsid w:val="00900F86"/>
    <w:rsid w:val="0091421D"/>
    <w:rsid w:val="009146C0"/>
    <w:rsid w:val="00920BF6"/>
    <w:rsid w:val="00921380"/>
    <w:rsid w:val="00921F16"/>
    <w:rsid w:val="009263F8"/>
    <w:rsid w:val="00926695"/>
    <w:rsid w:val="00927DD6"/>
    <w:rsid w:val="00932304"/>
    <w:rsid w:val="00932786"/>
    <w:rsid w:val="00936696"/>
    <w:rsid w:val="00936E48"/>
    <w:rsid w:val="009378D3"/>
    <w:rsid w:val="00941215"/>
    <w:rsid w:val="009503F3"/>
    <w:rsid w:val="00952E15"/>
    <w:rsid w:val="009538BA"/>
    <w:rsid w:val="00954D68"/>
    <w:rsid w:val="009563DA"/>
    <w:rsid w:val="00961249"/>
    <w:rsid w:val="00961665"/>
    <w:rsid w:val="00962088"/>
    <w:rsid w:val="00964210"/>
    <w:rsid w:val="009657E4"/>
    <w:rsid w:val="0096682A"/>
    <w:rsid w:val="009679E3"/>
    <w:rsid w:val="00970D3C"/>
    <w:rsid w:val="0097615F"/>
    <w:rsid w:val="0097661D"/>
    <w:rsid w:val="00977539"/>
    <w:rsid w:val="00977985"/>
    <w:rsid w:val="00977A5B"/>
    <w:rsid w:val="0098240D"/>
    <w:rsid w:val="00991CCA"/>
    <w:rsid w:val="00994A83"/>
    <w:rsid w:val="009969BC"/>
    <w:rsid w:val="009A3F9F"/>
    <w:rsid w:val="009B02BD"/>
    <w:rsid w:val="009C273F"/>
    <w:rsid w:val="009C2DA4"/>
    <w:rsid w:val="009C4C9A"/>
    <w:rsid w:val="009C6DED"/>
    <w:rsid w:val="009D2D37"/>
    <w:rsid w:val="009D501E"/>
    <w:rsid w:val="009D7224"/>
    <w:rsid w:val="009D72A8"/>
    <w:rsid w:val="009E1811"/>
    <w:rsid w:val="009E4637"/>
    <w:rsid w:val="009E4F57"/>
    <w:rsid w:val="009F0A0B"/>
    <w:rsid w:val="009F39E1"/>
    <w:rsid w:val="009F7CFA"/>
    <w:rsid w:val="00A01903"/>
    <w:rsid w:val="00A01B73"/>
    <w:rsid w:val="00A0236F"/>
    <w:rsid w:val="00A042B5"/>
    <w:rsid w:val="00A04ADF"/>
    <w:rsid w:val="00A0542E"/>
    <w:rsid w:val="00A05BA9"/>
    <w:rsid w:val="00A1179F"/>
    <w:rsid w:val="00A22033"/>
    <w:rsid w:val="00A24831"/>
    <w:rsid w:val="00A311A0"/>
    <w:rsid w:val="00A33F6A"/>
    <w:rsid w:val="00A439A8"/>
    <w:rsid w:val="00A578CF"/>
    <w:rsid w:val="00A60C48"/>
    <w:rsid w:val="00A67C37"/>
    <w:rsid w:val="00A70CA9"/>
    <w:rsid w:val="00A7611D"/>
    <w:rsid w:val="00A76E34"/>
    <w:rsid w:val="00A8182A"/>
    <w:rsid w:val="00A87C7F"/>
    <w:rsid w:val="00A92314"/>
    <w:rsid w:val="00A927A9"/>
    <w:rsid w:val="00A9543E"/>
    <w:rsid w:val="00AA2BF1"/>
    <w:rsid w:val="00AA6756"/>
    <w:rsid w:val="00AA6E68"/>
    <w:rsid w:val="00AB243B"/>
    <w:rsid w:val="00AB279D"/>
    <w:rsid w:val="00AB577F"/>
    <w:rsid w:val="00AB66A6"/>
    <w:rsid w:val="00AC0C09"/>
    <w:rsid w:val="00AC1A0F"/>
    <w:rsid w:val="00AC5834"/>
    <w:rsid w:val="00AD0E0B"/>
    <w:rsid w:val="00AD30FF"/>
    <w:rsid w:val="00AD7427"/>
    <w:rsid w:val="00AE345E"/>
    <w:rsid w:val="00AE667E"/>
    <w:rsid w:val="00AF4367"/>
    <w:rsid w:val="00AF4FA5"/>
    <w:rsid w:val="00AF7CA2"/>
    <w:rsid w:val="00B0097D"/>
    <w:rsid w:val="00B0270E"/>
    <w:rsid w:val="00B030DF"/>
    <w:rsid w:val="00B0722B"/>
    <w:rsid w:val="00B215CD"/>
    <w:rsid w:val="00B30814"/>
    <w:rsid w:val="00B32019"/>
    <w:rsid w:val="00B32976"/>
    <w:rsid w:val="00B32AB8"/>
    <w:rsid w:val="00B34683"/>
    <w:rsid w:val="00B35048"/>
    <w:rsid w:val="00B3528F"/>
    <w:rsid w:val="00B41408"/>
    <w:rsid w:val="00B41D54"/>
    <w:rsid w:val="00B44B9E"/>
    <w:rsid w:val="00B45F31"/>
    <w:rsid w:val="00B47692"/>
    <w:rsid w:val="00B53ED0"/>
    <w:rsid w:val="00B55EB2"/>
    <w:rsid w:val="00B5632A"/>
    <w:rsid w:val="00B56469"/>
    <w:rsid w:val="00B57CF2"/>
    <w:rsid w:val="00B61FB2"/>
    <w:rsid w:val="00B70E2A"/>
    <w:rsid w:val="00B7197B"/>
    <w:rsid w:val="00B82463"/>
    <w:rsid w:val="00B8276E"/>
    <w:rsid w:val="00B83E2D"/>
    <w:rsid w:val="00B8444F"/>
    <w:rsid w:val="00B87183"/>
    <w:rsid w:val="00B92155"/>
    <w:rsid w:val="00B9550D"/>
    <w:rsid w:val="00B95F61"/>
    <w:rsid w:val="00B97B84"/>
    <w:rsid w:val="00BA1F8E"/>
    <w:rsid w:val="00BA5398"/>
    <w:rsid w:val="00BA7A18"/>
    <w:rsid w:val="00BB1CFB"/>
    <w:rsid w:val="00BB3F6E"/>
    <w:rsid w:val="00BB42A5"/>
    <w:rsid w:val="00BB4709"/>
    <w:rsid w:val="00BC0C0B"/>
    <w:rsid w:val="00BC1192"/>
    <w:rsid w:val="00BC26A0"/>
    <w:rsid w:val="00BC558C"/>
    <w:rsid w:val="00BD2E5B"/>
    <w:rsid w:val="00BD56D4"/>
    <w:rsid w:val="00BE2527"/>
    <w:rsid w:val="00BE5263"/>
    <w:rsid w:val="00BE5725"/>
    <w:rsid w:val="00BF5D8A"/>
    <w:rsid w:val="00C01513"/>
    <w:rsid w:val="00C044A5"/>
    <w:rsid w:val="00C053B0"/>
    <w:rsid w:val="00C0586B"/>
    <w:rsid w:val="00C10D76"/>
    <w:rsid w:val="00C10E21"/>
    <w:rsid w:val="00C13CC3"/>
    <w:rsid w:val="00C15852"/>
    <w:rsid w:val="00C16298"/>
    <w:rsid w:val="00C17FEA"/>
    <w:rsid w:val="00C23F14"/>
    <w:rsid w:val="00C24C75"/>
    <w:rsid w:val="00C25195"/>
    <w:rsid w:val="00C346E3"/>
    <w:rsid w:val="00C355FD"/>
    <w:rsid w:val="00C35FF0"/>
    <w:rsid w:val="00C36870"/>
    <w:rsid w:val="00C36F48"/>
    <w:rsid w:val="00C45983"/>
    <w:rsid w:val="00C47B5E"/>
    <w:rsid w:val="00C522F9"/>
    <w:rsid w:val="00C52975"/>
    <w:rsid w:val="00C533FF"/>
    <w:rsid w:val="00C535C8"/>
    <w:rsid w:val="00C53922"/>
    <w:rsid w:val="00C54A22"/>
    <w:rsid w:val="00C55C4B"/>
    <w:rsid w:val="00C61088"/>
    <w:rsid w:val="00C61809"/>
    <w:rsid w:val="00C71006"/>
    <w:rsid w:val="00C72B91"/>
    <w:rsid w:val="00C73FC2"/>
    <w:rsid w:val="00C75F21"/>
    <w:rsid w:val="00C765F7"/>
    <w:rsid w:val="00C84940"/>
    <w:rsid w:val="00C85696"/>
    <w:rsid w:val="00C91AAD"/>
    <w:rsid w:val="00C973F7"/>
    <w:rsid w:val="00C97966"/>
    <w:rsid w:val="00CA01F8"/>
    <w:rsid w:val="00CA18AE"/>
    <w:rsid w:val="00CA3550"/>
    <w:rsid w:val="00CA390C"/>
    <w:rsid w:val="00CA5003"/>
    <w:rsid w:val="00CB017A"/>
    <w:rsid w:val="00CB0F80"/>
    <w:rsid w:val="00CB2D62"/>
    <w:rsid w:val="00CB61B4"/>
    <w:rsid w:val="00CC21DF"/>
    <w:rsid w:val="00CC2C6C"/>
    <w:rsid w:val="00CC3749"/>
    <w:rsid w:val="00CC4A29"/>
    <w:rsid w:val="00CD25E8"/>
    <w:rsid w:val="00CD40B4"/>
    <w:rsid w:val="00CE1528"/>
    <w:rsid w:val="00CE44F4"/>
    <w:rsid w:val="00CE5EF4"/>
    <w:rsid w:val="00CF4451"/>
    <w:rsid w:val="00CF47C5"/>
    <w:rsid w:val="00CF5985"/>
    <w:rsid w:val="00D03C00"/>
    <w:rsid w:val="00D12720"/>
    <w:rsid w:val="00D131A7"/>
    <w:rsid w:val="00D33570"/>
    <w:rsid w:val="00D3487A"/>
    <w:rsid w:val="00D406A7"/>
    <w:rsid w:val="00D41130"/>
    <w:rsid w:val="00D430B7"/>
    <w:rsid w:val="00D44DC2"/>
    <w:rsid w:val="00D50C07"/>
    <w:rsid w:val="00D50E66"/>
    <w:rsid w:val="00D5314B"/>
    <w:rsid w:val="00D56052"/>
    <w:rsid w:val="00D575E0"/>
    <w:rsid w:val="00D62C05"/>
    <w:rsid w:val="00D6415A"/>
    <w:rsid w:val="00D645F8"/>
    <w:rsid w:val="00D66AE8"/>
    <w:rsid w:val="00D66EDA"/>
    <w:rsid w:val="00D72354"/>
    <w:rsid w:val="00D7256A"/>
    <w:rsid w:val="00D72631"/>
    <w:rsid w:val="00D74DEE"/>
    <w:rsid w:val="00D75796"/>
    <w:rsid w:val="00D77D25"/>
    <w:rsid w:val="00D77E91"/>
    <w:rsid w:val="00D80838"/>
    <w:rsid w:val="00D8746C"/>
    <w:rsid w:val="00D8785D"/>
    <w:rsid w:val="00D87C4A"/>
    <w:rsid w:val="00D926B8"/>
    <w:rsid w:val="00D96651"/>
    <w:rsid w:val="00D9733C"/>
    <w:rsid w:val="00D97BA9"/>
    <w:rsid w:val="00DA4909"/>
    <w:rsid w:val="00DA4C8A"/>
    <w:rsid w:val="00DA5275"/>
    <w:rsid w:val="00DA67EE"/>
    <w:rsid w:val="00DA722D"/>
    <w:rsid w:val="00DA7263"/>
    <w:rsid w:val="00DA7F0E"/>
    <w:rsid w:val="00DB407F"/>
    <w:rsid w:val="00DB674C"/>
    <w:rsid w:val="00DB7C29"/>
    <w:rsid w:val="00DB7E8C"/>
    <w:rsid w:val="00DC66EE"/>
    <w:rsid w:val="00DD75FD"/>
    <w:rsid w:val="00DE55D2"/>
    <w:rsid w:val="00DE7BF1"/>
    <w:rsid w:val="00DF0030"/>
    <w:rsid w:val="00DF4EFB"/>
    <w:rsid w:val="00DF55A9"/>
    <w:rsid w:val="00DF770E"/>
    <w:rsid w:val="00DF77EB"/>
    <w:rsid w:val="00E02615"/>
    <w:rsid w:val="00E0673C"/>
    <w:rsid w:val="00E11701"/>
    <w:rsid w:val="00E11B90"/>
    <w:rsid w:val="00E17D5E"/>
    <w:rsid w:val="00E20FDB"/>
    <w:rsid w:val="00E225BC"/>
    <w:rsid w:val="00E22DD6"/>
    <w:rsid w:val="00E22F5E"/>
    <w:rsid w:val="00E23283"/>
    <w:rsid w:val="00E2345E"/>
    <w:rsid w:val="00E26E8B"/>
    <w:rsid w:val="00E3114C"/>
    <w:rsid w:val="00E419E4"/>
    <w:rsid w:val="00E4715D"/>
    <w:rsid w:val="00E51D48"/>
    <w:rsid w:val="00E54796"/>
    <w:rsid w:val="00E61590"/>
    <w:rsid w:val="00E62A53"/>
    <w:rsid w:val="00E66ECE"/>
    <w:rsid w:val="00E75295"/>
    <w:rsid w:val="00E825C1"/>
    <w:rsid w:val="00E83DAE"/>
    <w:rsid w:val="00E86085"/>
    <w:rsid w:val="00E8731D"/>
    <w:rsid w:val="00E91466"/>
    <w:rsid w:val="00E92557"/>
    <w:rsid w:val="00E93783"/>
    <w:rsid w:val="00EA1EDD"/>
    <w:rsid w:val="00EA58BE"/>
    <w:rsid w:val="00EA5B4C"/>
    <w:rsid w:val="00EA5E94"/>
    <w:rsid w:val="00EA754E"/>
    <w:rsid w:val="00EB0EA0"/>
    <w:rsid w:val="00EB382C"/>
    <w:rsid w:val="00EB4303"/>
    <w:rsid w:val="00EB6B75"/>
    <w:rsid w:val="00EC0554"/>
    <w:rsid w:val="00EC190D"/>
    <w:rsid w:val="00EC2559"/>
    <w:rsid w:val="00EC5C1F"/>
    <w:rsid w:val="00EC6363"/>
    <w:rsid w:val="00ED13F9"/>
    <w:rsid w:val="00ED61AC"/>
    <w:rsid w:val="00EE0881"/>
    <w:rsid w:val="00EE2480"/>
    <w:rsid w:val="00EE2A53"/>
    <w:rsid w:val="00EE4D22"/>
    <w:rsid w:val="00EF0C06"/>
    <w:rsid w:val="00EF1237"/>
    <w:rsid w:val="00EF3E46"/>
    <w:rsid w:val="00EF5708"/>
    <w:rsid w:val="00EF5AB0"/>
    <w:rsid w:val="00F01888"/>
    <w:rsid w:val="00F02008"/>
    <w:rsid w:val="00F03FED"/>
    <w:rsid w:val="00F0474F"/>
    <w:rsid w:val="00F11638"/>
    <w:rsid w:val="00F13735"/>
    <w:rsid w:val="00F205DF"/>
    <w:rsid w:val="00F256CC"/>
    <w:rsid w:val="00F31455"/>
    <w:rsid w:val="00F33CAB"/>
    <w:rsid w:val="00F369FD"/>
    <w:rsid w:val="00F36CC1"/>
    <w:rsid w:val="00F37560"/>
    <w:rsid w:val="00F40258"/>
    <w:rsid w:val="00F41C53"/>
    <w:rsid w:val="00F43FBC"/>
    <w:rsid w:val="00F463D9"/>
    <w:rsid w:val="00F463F7"/>
    <w:rsid w:val="00F50204"/>
    <w:rsid w:val="00F51B97"/>
    <w:rsid w:val="00F525CF"/>
    <w:rsid w:val="00F572D0"/>
    <w:rsid w:val="00F66545"/>
    <w:rsid w:val="00F67021"/>
    <w:rsid w:val="00F70BB4"/>
    <w:rsid w:val="00F7268E"/>
    <w:rsid w:val="00F8259C"/>
    <w:rsid w:val="00F82C82"/>
    <w:rsid w:val="00F84AE0"/>
    <w:rsid w:val="00F85562"/>
    <w:rsid w:val="00F913D2"/>
    <w:rsid w:val="00F94FA8"/>
    <w:rsid w:val="00F97F76"/>
    <w:rsid w:val="00FA0C07"/>
    <w:rsid w:val="00FA0C35"/>
    <w:rsid w:val="00FA1CF6"/>
    <w:rsid w:val="00FA3F7A"/>
    <w:rsid w:val="00FA47C9"/>
    <w:rsid w:val="00FA4A0D"/>
    <w:rsid w:val="00FA56B3"/>
    <w:rsid w:val="00FB1A34"/>
    <w:rsid w:val="00FB3370"/>
    <w:rsid w:val="00FB4A3B"/>
    <w:rsid w:val="00FB613E"/>
    <w:rsid w:val="00FC0AB3"/>
    <w:rsid w:val="00FC2854"/>
    <w:rsid w:val="00FC37B1"/>
    <w:rsid w:val="00FC56B0"/>
    <w:rsid w:val="00FC62C4"/>
    <w:rsid w:val="00FD002C"/>
    <w:rsid w:val="00FD0DEC"/>
    <w:rsid w:val="00FD216A"/>
    <w:rsid w:val="00FE18F8"/>
    <w:rsid w:val="00FF0E8C"/>
    <w:rsid w:val="00FF2468"/>
    <w:rsid w:val="00FF3BEC"/>
    <w:rsid w:val="00FF4815"/>
    <w:rsid w:val="00FF75E8"/>
    <w:rsid w:val="0C35532B"/>
    <w:rsid w:val="126C1DFF"/>
    <w:rsid w:val="128B6C52"/>
    <w:rsid w:val="29EB6C36"/>
    <w:rsid w:val="2EBEDD59"/>
    <w:rsid w:val="3356F203"/>
    <w:rsid w:val="389CE752"/>
    <w:rsid w:val="3F52D1C1"/>
    <w:rsid w:val="41649477"/>
    <w:rsid w:val="46E8008E"/>
    <w:rsid w:val="4F7374C9"/>
    <w:rsid w:val="537FF910"/>
    <w:rsid w:val="5B105FB0"/>
    <w:rsid w:val="60FF877A"/>
    <w:rsid w:val="6CF59C0F"/>
    <w:rsid w:val="6F25FE29"/>
    <w:rsid w:val="7F3ED2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CAC61"/>
  <w15:docId w15:val="{5ADFE940-939E-44C3-B51E-FDEA4145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70AF2"/>
    <w:pPr>
      <w:keepNext/>
      <w:keepLines/>
      <w:spacing w:before="480" w:after="120"/>
      <w:outlineLvl w:val="0"/>
    </w:pPr>
    <w:rPr>
      <w:rFonts w:eastAsiaTheme="minorEastAsia" w:cstheme="majorBidi"/>
      <w:b/>
      <w:bCs/>
      <w:color w:val="365F91" w:themeColor="accent1" w:themeShade="BF"/>
      <w:sz w:val="28"/>
      <w:szCs w:val="28"/>
    </w:rPr>
  </w:style>
  <w:style w:type="paragraph" w:styleId="Nadpis2">
    <w:name w:val="heading 2"/>
    <w:basedOn w:val="Odstavecseseznamem"/>
    <w:next w:val="Normln"/>
    <w:link w:val="Nadpis2Char"/>
    <w:uiPriority w:val="9"/>
    <w:unhideWhenUsed/>
    <w:qFormat/>
    <w:rsid w:val="00870AF2"/>
    <w:pPr>
      <w:numPr>
        <w:numId w:val="44"/>
      </w:numPr>
      <w:pBdr>
        <w:bottom w:val="single" w:sz="6" w:space="4" w:color="ACD1E5"/>
      </w:pBdr>
      <w:shd w:val="clear" w:color="auto" w:fill="FFFFFF"/>
      <w:spacing w:before="150" w:after="150" w:line="270" w:lineRule="atLeast"/>
      <w:jc w:val="both"/>
      <w:textAlignment w:val="baseline"/>
      <w:outlineLvl w:val="1"/>
    </w:pPr>
    <w:rPr>
      <w:rFonts w:eastAsia="Times New Roman"/>
      <w:b/>
      <w:bCs/>
      <w:caps/>
      <w:color w:val="104B86"/>
    </w:rPr>
  </w:style>
  <w:style w:type="paragraph" w:styleId="Nadpis3">
    <w:name w:val="heading 3"/>
    <w:basedOn w:val="Normln"/>
    <w:next w:val="Normln"/>
    <w:link w:val="Nadpis3Char"/>
    <w:uiPriority w:val="9"/>
    <w:unhideWhenUsed/>
    <w:qFormat/>
    <w:rsid w:val="00870AF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Odstavec cíl se seznamem,Odstavec se seznamem5,Odstavec_muj,Odrážky,Obrázek,_Odstavec se seznamem,Seznam - odrážky,Odstavec_muj1,Odstavec_muj2,Odstavec_muj3,Nad1,List Paragraph1,Odstavec_muj4,Nad2,List Paragraph2,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známka pod čarou,Footnote,Podrozdział,Podrozdzia3,Footnote Text Char,Char1,Char"/>
    <w:basedOn w:val="Normln"/>
    <w:link w:val="TextpoznpodarouChar"/>
    <w:uiPriority w:val="99"/>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známka pod čarou Char"/>
    <w:basedOn w:val="Standardnpsmoodstavce"/>
    <w:link w:val="Textpoznpodarou"/>
    <w:uiPriority w:val="99"/>
    <w:rsid w:val="00634381"/>
    <w:rPr>
      <w:sz w:val="20"/>
      <w:szCs w:val="20"/>
    </w:rPr>
  </w:style>
  <w:style w:type="character" w:styleId="Znakapoznpodarou">
    <w:name w:val="footnote reference"/>
    <w:aliases w:val="PGI Fußnote Ziffer,BVI fnr,Footnote symbol,Footnote Reference Number,Footnote Reference Superscript,Appel note de bas de p,Appel note de bas de page,Légende,Char Car Car Car Car,Voetnootverwijzing,fr,Légende;Char Car Car Car Car"/>
    <w:basedOn w:val="Standardnpsmoodstavce"/>
    <w:uiPriority w:val="99"/>
    <w:unhideWhenUsed/>
    <w:rsid w:val="00634381"/>
    <w:rPr>
      <w:vertAlign w:val="superscript"/>
    </w:rPr>
  </w:style>
  <w:style w:type="table" w:styleId="Mkatabulky">
    <w:name w:val="Table Grid"/>
    <w:basedOn w:val="Normlntabulka"/>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70AF2"/>
    <w:rPr>
      <w:rFonts w:eastAsia="Times New Roman"/>
      <w:b/>
      <w:bCs/>
      <w:caps/>
      <w:color w:val="104B86"/>
      <w:shd w:val="clear" w:color="auto" w:fill="FFFFFF"/>
    </w:rPr>
  </w:style>
  <w:style w:type="character" w:customStyle="1" w:styleId="Nadpis1Char">
    <w:name w:val="Nadpis 1 Char"/>
    <w:basedOn w:val="Standardnpsmoodstavce"/>
    <w:link w:val="Nadpis1"/>
    <w:uiPriority w:val="9"/>
    <w:rsid w:val="00870AF2"/>
    <w:rPr>
      <w:rFonts w:eastAsiaTheme="minorEastAsia"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semiHidden/>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 cíl se seznamem Char,Odstavec se seznamem5 Char,Odstavec_muj Char,Odrážky Char,Obrázek Char,_Odstavec se seznamem Char,Seznam - odrážky Char,Odstavec_muj1 Char,Odstavec_muj2 Char,Odstavec_muj3 Char,Nad1 Char"/>
    <w:basedOn w:val="Standardnpsmoodstavce"/>
    <w:link w:val="Odstavecseseznamem"/>
    <w:uiPriority w:val="34"/>
    <w:qFormat/>
    <w:locked/>
    <w:rsid w:val="00781B5C"/>
  </w:style>
  <w:style w:type="paragraph" w:styleId="Nadpisobsahu">
    <w:name w:val="TOC Heading"/>
    <w:basedOn w:val="Nadpis1"/>
    <w:next w:val="Normln"/>
    <w:uiPriority w:val="39"/>
    <w:unhideWhenUsed/>
    <w:qFormat/>
    <w:rsid w:val="005F01E8"/>
    <w:pPr>
      <w:outlineLvl w:val="9"/>
    </w:pPr>
    <w:rPr>
      <w:lang w:eastAsia="cs-CZ"/>
    </w:rPr>
  </w:style>
  <w:style w:type="paragraph" w:styleId="Obsah1">
    <w:name w:val="toc 1"/>
    <w:basedOn w:val="Normln"/>
    <w:next w:val="Normln"/>
    <w:autoRedefine/>
    <w:uiPriority w:val="39"/>
    <w:unhideWhenUsed/>
    <w:rsid w:val="006F0FD9"/>
    <w:pPr>
      <w:tabs>
        <w:tab w:val="left" w:pos="709"/>
        <w:tab w:val="right" w:leader="dot" w:pos="9062"/>
      </w:tabs>
      <w:spacing w:after="100"/>
    </w:pPr>
  </w:style>
  <w:style w:type="paragraph" w:styleId="Bezmezer">
    <w:name w:val="No Spacing"/>
    <w:link w:val="BezmezerChar"/>
    <w:uiPriority w:val="1"/>
    <w:qFormat/>
    <w:rsid w:val="00302C7F"/>
    <w:pPr>
      <w:spacing w:before="40" w:after="40" w:line="240" w:lineRule="auto"/>
    </w:pPr>
    <w:rPr>
      <w:rFonts w:ascii="Arial" w:hAnsi="Arial"/>
      <w:sz w:val="20"/>
    </w:rPr>
  </w:style>
  <w:style w:type="character" w:customStyle="1" w:styleId="BezmezerChar">
    <w:name w:val="Bez mezer Char"/>
    <w:basedOn w:val="Standardnpsmoodstavce"/>
    <w:link w:val="Bezmezer"/>
    <w:uiPriority w:val="1"/>
    <w:rsid w:val="00302C7F"/>
    <w:rPr>
      <w:rFonts w:ascii="Arial" w:hAnsi="Arial"/>
      <w:sz w:val="20"/>
    </w:rPr>
  </w:style>
  <w:style w:type="paragraph" w:styleId="Revize">
    <w:name w:val="Revision"/>
    <w:hidden/>
    <w:uiPriority w:val="99"/>
    <w:semiHidden/>
    <w:rsid w:val="00481AF3"/>
    <w:pPr>
      <w:spacing w:after="0" w:line="240" w:lineRule="auto"/>
    </w:pPr>
  </w:style>
  <w:style w:type="paragraph" w:styleId="Obsah2">
    <w:name w:val="toc 2"/>
    <w:basedOn w:val="Normln"/>
    <w:next w:val="Normln"/>
    <w:autoRedefine/>
    <w:uiPriority w:val="39"/>
    <w:unhideWhenUsed/>
    <w:rsid w:val="006837D7"/>
    <w:pPr>
      <w:tabs>
        <w:tab w:val="left" w:pos="660"/>
        <w:tab w:val="right" w:leader="dot" w:pos="9062"/>
      </w:tabs>
      <w:spacing w:after="100"/>
      <w:ind w:left="220"/>
    </w:pPr>
  </w:style>
  <w:style w:type="character" w:styleId="Zdraznnjemn">
    <w:name w:val="Subtle Emphasis"/>
    <w:basedOn w:val="Standardnpsmoodstavce"/>
    <w:uiPriority w:val="19"/>
    <w:qFormat/>
    <w:rsid w:val="00CB2D62"/>
    <w:rPr>
      <w:rFonts w:asciiTheme="majorHAnsi" w:hAnsiTheme="majorHAnsi"/>
      <w:b/>
      <w:i w:val="0"/>
      <w:iCs/>
      <w:color w:val="1F497D" w:themeColor="text2"/>
      <w:sz w:val="22"/>
    </w:rPr>
  </w:style>
  <w:style w:type="character" w:styleId="Zdraznn">
    <w:name w:val="Emphasis"/>
    <w:basedOn w:val="Standardnpsmoodstavce"/>
    <w:uiPriority w:val="20"/>
    <w:qFormat/>
    <w:rsid w:val="00CB2D62"/>
    <w:rPr>
      <w:rFonts w:asciiTheme="minorHAnsi" w:hAnsiTheme="minorHAnsi"/>
      <w:i w:val="0"/>
      <w:iCs/>
      <w:color w:val="1F497D" w:themeColor="text2"/>
      <w:sz w:val="22"/>
    </w:rPr>
  </w:style>
  <w:style w:type="character" w:styleId="Zdraznnintenzivn">
    <w:name w:val="Intense Emphasis"/>
    <w:basedOn w:val="Standardnpsmoodstavce"/>
    <w:uiPriority w:val="21"/>
    <w:qFormat/>
    <w:rsid w:val="00CB2D62"/>
    <w:rPr>
      <w:i/>
      <w:iCs/>
      <w:color w:val="4F81BD" w:themeColor="accent1"/>
    </w:rPr>
  </w:style>
  <w:style w:type="paragraph" w:styleId="Nzev">
    <w:name w:val="Title"/>
    <w:basedOn w:val="Normln"/>
    <w:next w:val="Normln"/>
    <w:link w:val="NzevChar"/>
    <w:uiPriority w:val="10"/>
    <w:qFormat/>
    <w:rsid w:val="00CB2D62"/>
    <w:pPr>
      <w:spacing w:before="120" w:after="120" w:line="240" w:lineRule="auto"/>
      <w:contextualSpacing/>
    </w:pPr>
    <w:rPr>
      <w:rFonts w:eastAsiaTheme="majorEastAsia" w:cstheme="majorBidi"/>
      <w:color w:val="1F497D" w:themeColor="text2"/>
      <w:spacing w:val="-10"/>
      <w:kern w:val="28"/>
      <w:szCs w:val="56"/>
    </w:rPr>
  </w:style>
  <w:style w:type="character" w:customStyle="1" w:styleId="NzevChar">
    <w:name w:val="Název Char"/>
    <w:basedOn w:val="Standardnpsmoodstavce"/>
    <w:link w:val="Nzev"/>
    <w:uiPriority w:val="10"/>
    <w:rsid w:val="00CB2D62"/>
    <w:rPr>
      <w:rFonts w:eastAsiaTheme="majorEastAsia" w:cstheme="majorBidi"/>
      <w:color w:val="1F497D" w:themeColor="text2"/>
      <w:spacing w:val="-10"/>
      <w:kern w:val="28"/>
      <w:szCs w:val="56"/>
    </w:rPr>
  </w:style>
  <w:style w:type="paragraph" w:customStyle="1" w:styleId="pf0">
    <w:name w:val="pf0"/>
    <w:basedOn w:val="Normln"/>
    <w:rsid w:val="001939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19393F"/>
    <w:rPr>
      <w:rFonts w:ascii="Segoe UI" w:hAnsi="Segoe UI" w:cs="Segoe UI" w:hint="default"/>
      <w:i/>
      <w:iCs/>
      <w:sz w:val="18"/>
      <w:szCs w:val="18"/>
    </w:rPr>
  </w:style>
  <w:style w:type="character" w:customStyle="1" w:styleId="cf11">
    <w:name w:val="cf11"/>
    <w:basedOn w:val="Standardnpsmoodstavce"/>
    <w:rsid w:val="0019393F"/>
    <w:rPr>
      <w:rFonts w:ascii="Segoe UI" w:hAnsi="Segoe UI" w:cs="Segoe UI" w:hint="default"/>
      <w:sz w:val="18"/>
      <w:szCs w:val="18"/>
    </w:rPr>
  </w:style>
  <w:style w:type="character" w:customStyle="1" w:styleId="oj-italic">
    <w:name w:val="oj-italic"/>
    <w:basedOn w:val="Standardnpsmoodstavce"/>
    <w:rsid w:val="00143F3A"/>
  </w:style>
  <w:style w:type="paragraph" w:customStyle="1" w:styleId="Odrazka1">
    <w:name w:val="Odrazka 1"/>
    <w:basedOn w:val="Normln"/>
    <w:link w:val="Odrazka1Char"/>
    <w:qFormat/>
    <w:rsid w:val="007108F6"/>
    <w:pPr>
      <w:numPr>
        <w:numId w:val="49"/>
      </w:numPr>
      <w:spacing w:before="60" w:after="60"/>
      <w:jc w:val="both"/>
    </w:pPr>
    <w:rPr>
      <w:rFonts w:ascii="Calibri" w:eastAsia="Times New Roman" w:hAnsi="Calibri" w:cs="Times New Roman"/>
      <w:sz w:val="24"/>
      <w:szCs w:val="24"/>
      <w:lang w:eastAsia="cs-CZ"/>
    </w:rPr>
  </w:style>
  <w:style w:type="character" w:customStyle="1" w:styleId="Odrazka1Char">
    <w:name w:val="Odrazka 1 Char"/>
    <w:link w:val="Odrazka1"/>
    <w:rsid w:val="007108F6"/>
    <w:rPr>
      <w:rFonts w:ascii="Calibri" w:eastAsia="Times New Roman" w:hAnsi="Calibri" w:cs="Times New Roman"/>
      <w:sz w:val="24"/>
      <w:szCs w:val="24"/>
      <w:lang w:eastAsia="cs-CZ"/>
    </w:rPr>
  </w:style>
  <w:style w:type="paragraph" w:customStyle="1" w:styleId="Odrazka2">
    <w:name w:val="Odrazka 2"/>
    <w:basedOn w:val="Odrazka1"/>
    <w:qFormat/>
    <w:rsid w:val="007108F6"/>
    <w:pPr>
      <w:numPr>
        <w:ilvl w:val="1"/>
      </w:numPr>
      <w:tabs>
        <w:tab w:val="clear" w:pos="794"/>
      </w:tabs>
      <w:ind w:left="1440" w:hanging="360"/>
    </w:pPr>
  </w:style>
  <w:style w:type="paragraph" w:customStyle="1" w:styleId="Odrazka3">
    <w:name w:val="Odrazka 3"/>
    <w:basedOn w:val="Odrazka2"/>
    <w:qFormat/>
    <w:rsid w:val="007108F6"/>
    <w:pPr>
      <w:numPr>
        <w:ilvl w:val="2"/>
      </w:numPr>
      <w:tabs>
        <w:tab w:val="clear" w:pos="1304"/>
      </w:tabs>
      <w:ind w:left="1191" w:hanging="397"/>
    </w:pPr>
  </w:style>
  <w:style w:type="character" w:customStyle="1" w:styleId="Nadpis3Char">
    <w:name w:val="Nadpis 3 Char"/>
    <w:basedOn w:val="Standardnpsmoodstavce"/>
    <w:link w:val="Nadpis3"/>
    <w:uiPriority w:val="9"/>
    <w:rsid w:val="00870AF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89920653">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82911591">
      <w:bodyDiv w:val="1"/>
      <w:marLeft w:val="0"/>
      <w:marRight w:val="0"/>
      <w:marTop w:val="0"/>
      <w:marBottom w:val="0"/>
      <w:divBdr>
        <w:top w:val="none" w:sz="0" w:space="0" w:color="auto"/>
        <w:left w:val="none" w:sz="0" w:space="0" w:color="auto"/>
        <w:bottom w:val="none" w:sz="0" w:space="0" w:color="auto"/>
        <w:right w:val="none" w:sz="0" w:space="0" w:color="auto"/>
      </w:divBdr>
    </w:div>
    <w:div w:id="1705710880">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202952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C0724F-1606-4E40-99F1-817D950519F9}" type="doc">
      <dgm:prSet loTypeId="urn:microsoft.com/office/officeart/2005/8/layout/hierarchy2" loCatId="hierarchy" qsTypeId="urn:microsoft.com/office/officeart/2005/8/quickstyle/simple1" qsCatId="simple" csTypeId="urn:microsoft.com/office/officeart/2005/8/colors/accent1_4" csCatId="accent1" phldr="1"/>
      <dgm:spPr/>
      <dgm:t>
        <a:bodyPr/>
        <a:lstStyle/>
        <a:p>
          <a:endParaRPr lang="cs-CZ"/>
        </a:p>
      </dgm:t>
    </dgm:pt>
    <dgm:pt modelId="{83291AA4-B187-441C-A81A-C14AACDEBECE}">
      <dgm:prSet phldrT="[Text]"/>
      <dgm:spPr/>
      <dgm:t>
        <a:bodyPr/>
        <a:lstStyle/>
        <a:p>
          <a:pPr algn="ctr"/>
          <a:r>
            <a:rPr lang="cs-CZ"/>
            <a:t>Veřejná podpora</a:t>
          </a:r>
        </a:p>
      </dgm:t>
    </dgm:pt>
    <dgm:pt modelId="{FEA157D7-324E-40DF-A730-B9BBB46D6E63}" type="parTrans" cxnId="{085E7942-4975-4D18-A832-B40A336A64AF}">
      <dgm:prSet/>
      <dgm:spPr/>
      <dgm:t>
        <a:bodyPr/>
        <a:lstStyle/>
        <a:p>
          <a:pPr algn="ctr"/>
          <a:endParaRPr lang="cs-CZ"/>
        </a:p>
      </dgm:t>
    </dgm:pt>
    <dgm:pt modelId="{A5BC3277-C745-463C-9CD8-E6917CAA6F8A}" type="sibTrans" cxnId="{085E7942-4975-4D18-A832-B40A336A64AF}">
      <dgm:prSet/>
      <dgm:spPr/>
      <dgm:t>
        <a:bodyPr/>
        <a:lstStyle/>
        <a:p>
          <a:pPr algn="ctr"/>
          <a:endParaRPr lang="cs-CZ"/>
        </a:p>
      </dgm:t>
    </dgm:pt>
    <dgm:pt modelId="{C3EB48D7-7398-4C08-A1D6-A26667119247}">
      <dgm:prSet phldrT="[Text]"/>
      <dgm:spPr>
        <a:solidFill>
          <a:schemeClr val="accent6">
            <a:lumMod val="75000"/>
          </a:schemeClr>
        </a:solidFill>
      </dgm:spPr>
      <dgm:t>
        <a:bodyPr/>
        <a:lstStyle/>
        <a:p>
          <a:pPr algn="ctr"/>
          <a:r>
            <a:rPr lang="cs-CZ"/>
            <a:t>NE</a:t>
          </a:r>
        </a:p>
      </dgm:t>
    </dgm:pt>
    <dgm:pt modelId="{05AD6450-D24A-4786-9ECE-A9680935FE91}" type="parTrans" cxnId="{62A7F524-C2CA-45FB-AA0F-5A792686F4C2}">
      <dgm:prSet/>
      <dgm:spPr/>
      <dgm:t>
        <a:bodyPr/>
        <a:lstStyle/>
        <a:p>
          <a:pPr algn="ctr"/>
          <a:endParaRPr lang="cs-CZ"/>
        </a:p>
      </dgm:t>
    </dgm:pt>
    <dgm:pt modelId="{AE586E1B-C750-45F1-8ACF-BFE4575A76CC}" type="sibTrans" cxnId="{62A7F524-C2CA-45FB-AA0F-5A792686F4C2}">
      <dgm:prSet/>
      <dgm:spPr/>
      <dgm:t>
        <a:bodyPr/>
        <a:lstStyle/>
        <a:p>
          <a:pPr algn="ctr"/>
          <a:endParaRPr lang="cs-CZ"/>
        </a:p>
      </dgm:t>
    </dgm:pt>
    <dgm:pt modelId="{8A8A2E82-CE31-4896-9590-C550DECD2B4A}">
      <dgm:prSet phldrT="[Text]"/>
      <dgm:spPr/>
      <dgm:t>
        <a:bodyPr/>
        <a:lstStyle/>
        <a:p>
          <a:pPr algn="ctr"/>
          <a:r>
            <a:rPr lang="cs-CZ"/>
            <a:t>ANO</a:t>
          </a:r>
        </a:p>
      </dgm:t>
    </dgm:pt>
    <dgm:pt modelId="{A65101A9-6938-4E19-B244-3311BE83F6F9}" type="parTrans" cxnId="{FF94A64A-0890-4A9E-A502-9BD8E02CC080}">
      <dgm:prSet/>
      <dgm:spPr/>
      <dgm:t>
        <a:bodyPr/>
        <a:lstStyle/>
        <a:p>
          <a:pPr algn="ctr"/>
          <a:endParaRPr lang="cs-CZ"/>
        </a:p>
      </dgm:t>
    </dgm:pt>
    <dgm:pt modelId="{2D35A945-551C-4ECF-9EA6-20B73DBAC16E}" type="sibTrans" cxnId="{FF94A64A-0890-4A9E-A502-9BD8E02CC080}">
      <dgm:prSet/>
      <dgm:spPr/>
      <dgm:t>
        <a:bodyPr/>
        <a:lstStyle/>
        <a:p>
          <a:pPr algn="ctr"/>
          <a:endParaRPr lang="cs-CZ"/>
        </a:p>
      </dgm:t>
    </dgm:pt>
    <dgm:pt modelId="{70D6B149-F471-49D1-B2D7-F03BC4E3A91F}">
      <dgm:prSet phldrT="[Text]"/>
      <dgm:spPr/>
      <dgm:t>
        <a:bodyPr/>
        <a:lstStyle/>
        <a:p>
          <a:pPr algn="ctr"/>
          <a:r>
            <a:rPr lang="cs-CZ"/>
            <a:t>De minimis</a:t>
          </a:r>
        </a:p>
      </dgm:t>
    </dgm:pt>
    <dgm:pt modelId="{87DFE0BC-88E4-429D-8538-8365CA30F254}" type="sibTrans" cxnId="{D8314466-696A-44E9-96B7-F6454C8B2C44}">
      <dgm:prSet/>
      <dgm:spPr/>
      <dgm:t>
        <a:bodyPr/>
        <a:lstStyle/>
        <a:p>
          <a:pPr algn="ctr"/>
          <a:endParaRPr lang="cs-CZ"/>
        </a:p>
      </dgm:t>
    </dgm:pt>
    <dgm:pt modelId="{2A19C6F9-761D-4673-9254-0E32DF8B907F}" type="parTrans" cxnId="{D8314466-696A-44E9-96B7-F6454C8B2C44}">
      <dgm:prSet/>
      <dgm:spPr/>
      <dgm:t>
        <a:bodyPr/>
        <a:lstStyle/>
        <a:p>
          <a:pPr algn="ctr"/>
          <a:endParaRPr lang="cs-CZ"/>
        </a:p>
      </dgm:t>
    </dgm:pt>
    <dgm:pt modelId="{5CCAED79-9396-4D37-9D86-AA2AF1AAF18B}">
      <dgm:prSet phldrT="[Text]"/>
      <dgm:spPr/>
      <dgm:t>
        <a:bodyPr/>
        <a:lstStyle/>
        <a:p>
          <a:pPr algn="ctr"/>
          <a:r>
            <a:rPr lang="cs-CZ"/>
            <a:t>GBER</a:t>
          </a:r>
        </a:p>
      </dgm:t>
    </dgm:pt>
    <dgm:pt modelId="{116AFFF1-91AF-43BC-9281-C0CC0CA59405}" type="parTrans" cxnId="{9B040C29-06B2-438E-A205-EE30C496980A}">
      <dgm:prSet/>
      <dgm:spPr/>
      <dgm:t>
        <a:bodyPr/>
        <a:lstStyle/>
        <a:p>
          <a:pPr algn="ctr"/>
          <a:endParaRPr lang="cs-CZ"/>
        </a:p>
      </dgm:t>
    </dgm:pt>
    <dgm:pt modelId="{9616C549-3CE2-44F9-A584-4E3165B937DC}" type="sibTrans" cxnId="{9B040C29-06B2-438E-A205-EE30C496980A}">
      <dgm:prSet/>
      <dgm:spPr/>
      <dgm:t>
        <a:bodyPr/>
        <a:lstStyle/>
        <a:p>
          <a:pPr algn="ctr"/>
          <a:endParaRPr lang="cs-CZ"/>
        </a:p>
      </dgm:t>
    </dgm:pt>
    <dgm:pt modelId="{4EC344C6-CB72-4E90-8B09-94E9C51E943B}">
      <dgm:prSet phldrT="[Text]"/>
      <dgm:spPr/>
      <dgm:t>
        <a:bodyPr/>
        <a:lstStyle/>
        <a:p>
          <a:pPr algn="ctr"/>
          <a:r>
            <a:rPr lang="cs-CZ"/>
            <a:t>SOHZ</a:t>
          </a:r>
        </a:p>
      </dgm:t>
    </dgm:pt>
    <dgm:pt modelId="{D6D8F232-1727-41F8-9B37-C8D1450635A2}" type="parTrans" cxnId="{EF03BA93-786E-40ED-A7B5-132AAE6A327D}">
      <dgm:prSet/>
      <dgm:spPr/>
      <dgm:t>
        <a:bodyPr/>
        <a:lstStyle/>
        <a:p>
          <a:pPr algn="ctr"/>
          <a:endParaRPr lang="cs-CZ"/>
        </a:p>
      </dgm:t>
    </dgm:pt>
    <dgm:pt modelId="{96BD6D9D-21B3-40ED-947B-8616AA28E53A}" type="sibTrans" cxnId="{EF03BA93-786E-40ED-A7B5-132AAE6A327D}">
      <dgm:prSet/>
      <dgm:spPr/>
      <dgm:t>
        <a:bodyPr/>
        <a:lstStyle/>
        <a:p>
          <a:pPr algn="ctr"/>
          <a:endParaRPr lang="cs-CZ"/>
        </a:p>
      </dgm:t>
    </dgm:pt>
    <dgm:pt modelId="{CB8648D0-B06B-4CC1-99F1-87E57644E307}">
      <dgm:prSet/>
      <dgm:spPr/>
      <dgm:t>
        <a:bodyPr/>
        <a:lstStyle/>
        <a:p>
          <a:pPr algn="ctr"/>
          <a:r>
            <a:rPr lang="cs-CZ"/>
            <a:t>De minimis SOHZ</a:t>
          </a:r>
        </a:p>
      </dgm:t>
    </dgm:pt>
    <dgm:pt modelId="{156F96EA-9D59-43C2-B338-E25E3119882F}" type="sibTrans" cxnId="{3AEE8D71-D965-4B5E-A22B-ED893A4C5E0E}">
      <dgm:prSet/>
      <dgm:spPr/>
      <dgm:t>
        <a:bodyPr/>
        <a:lstStyle/>
        <a:p>
          <a:pPr algn="ctr"/>
          <a:endParaRPr lang="cs-CZ"/>
        </a:p>
      </dgm:t>
    </dgm:pt>
    <dgm:pt modelId="{437C0206-945F-49D1-97D0-593F45D26CAE}" type="parTrans" cxnId="{3AEE8D71-D965-4B5E-A22B-ED893A4C5E0E}">
      <dgm:prSet/>
      <dgm:spPr/>
      <dgm:t>
        <a:bodyPr/>
        <a:lstStyle/>
        <a:p>
          <a:pPr algn="ctr"/>
          <a:endParaRPr lang="cs-CZ"/>
        </a:p>
      </dgm:t>
    </dgm:pt>
    <dgm:pt modelId="{B30493F6-40A3-4BC2-9A8C-52F5AA5886C1}" type="pres">
      <dgm:prSet presAssocID="{C6C0724F-1606-4E40-99F1-817D950519F9}" presName="diagram" presStyleCnt="0">
        <dgm:presLayoutVars>
          <dgm:chPref val="1"/>
          <dgm:dir/>
          <dgm:animOne val="branch"/>
          <dgm:animLvl val="lvl"/>
          <dgm:resizeHandles val="exact"/>
        </dgm:presLayoutVars>
      </dgm:prSet>
      <dgm:spPr/>
    </dgm:pt>
    <dgm:pt modelId="{D6BA1CF8-4F29-4CDC-B76B-213A72B81BDC}" type="pres">
      <dgm:prSet presAssocID="{83291AA4-B187-441C-A81A-C14AACDEBECE}" presName="root1" presStyleCnt="0"/>
      <dgm:spPr/>
    </dgm:pt>
    <dgm:pt modelId="{C3355D9A-4944-4A26-B088-92F03F5E10D7}" type="pres">
      <dgm:prSet presAssocID="{83291AA4-B187-441C-A81A-C14AACDEBECE}" presName="LevelOneTextNode" presStyleLbl="node0" presStyleIdx="0" presStyleCnt="1">
        <dgm:presLayoutVars>
          <dgm:chPref val="3"/>
        </dgm:presLayoutVars>
      </dgm:prSet>
      <dgm:spPr/>
    </dgm:pt>
    <dgm:pt modelId="{115B25C9-E994-43F9-B750-B707FDF18BA8}" type="pres">
      <dgm:prSet presAssocID="{83291AA4-B187-441C-A81A-C14AACDEBECE}" presName="level2hierChild" presStyleCnt="0"/>
      <dgm:spPr/>
    </dgm:pt>
    <dgm:pt modelId="{2CD28A2A-C8DD-4837-9253-06D8F4864C9B}" type="pres">
      <dgm:prSet presAssocID="{05AD6450-D24A-4786-9ECE-A9680935FE91}" presName="conn2-1" presStyleLbl="parChTrans1D2" presStyleIdx="0" presStyleCnt="2"/>
      <dgm:spPr/>
    </dgm:pt>
    <dgm:pt modelId="{26911766-EFBA-4DFA-8B61-566B04F51E04}" type="pres">
      <dgm:prSet presAssocID="{05AD6450-D24A-4786-9ECE-A9680935FE91}" presName="connTx" presStyleLbl="parChTrans1D2" presStyleIdx="0" presStyleCnt="2"/>
      <dgm:spPr/>
    </dgm:pt>
    <dgm:pt modelId="{9A564295-7F15-42AD-9A15-1260918DD0E8}" type="pres">
      <dgm:prSet presAssocID="{C3EB48D7-7398-4C08-A1D6-A26667119247}" presName="root2" presStyleCnt="0"/>
      <dgm:spPr/>
    </dgm:pt>
    <dgm:pt modelId="{3D4E0200-2677-49AB-A143-6075F889F17F}" type="pres">
      <dgm:prSet presAssocID="{C3EB48D7-7398-4C08-A1D6-A26667119247}" presName="LevelTwoTextNode" presStyleLbl="node2" presStyleIdx="0" presStyleCnt="2">
        <dgm:presLayoutVars>
          <dgm:chPref val="3"/>
        </dgm:presLayoutVars>
      </dgm:prSet>
      <dgm:spPr/>
    </dgm:pt>
    <dgm:pt modelId="{1F55800B-10B2-4F79-9791-8462A062AE48}" type="pres">
      <dgm:prSet presAssocID="{C3EB48D7-7398-4C08-A1D6-A26667119247}" presName="level3hierChild" presStyleCnt="0"/>
      <dgm:spPr/>
    </dgm:pt>
    <dgm:pt modelId="{300C6EE2-3A1A-489C-981E-4ED6C00324BE}" type="pres">
      <dgm:prSet presAssocID="{A65101A9-6938-4E19-B244-3311BE83F6F9}" presName="conn2-1" presStyleLbl="parChTrans1D2" presStyleIdx="1" presStyleCnt="2"/>
      <dgm:spPr/>
    </dgm:pt>
    <dgm:pt modelId="{7EC60CDE-FF99-4ACC-A326-61485E2C4AE8}" type="pres">
      <dgm:prSet presAssocID="{A65101A9-6938-4E19-B244-3311BE83F6F9}" presName="connTx" presStyleLbl="parChTrans1D2" presStyleIdx="1" presStyleCnt="2"/>
      <dgm:spPr/>
    </dgm:pt>
    <dgm:pt modelId="{ACE45896-60D3-40F1-8817-BE2B6C651216}" type="pres">
      <dgm:prSet presAssocID="{8A8A2E82-CE31-4896-9590-C550DECD2B4A}" presName="root2" presStyleCnt="0"/>
      <dgm:spPr/>
    </dgm:pt>
    <dgm:pt modelId="{7B150FFA-DFCC-44CA-B3E4-AF2042FFF47D}" type="pres">
      <dgm:prSet presAssocID="{8A8A2E82-CE31-4896-9590-C550DECD2B4A}" presName="LevelTwoTextNode" presStyleLbl="node2" presStyleIdx="1" presStyleCnt="2">
        <dgm:presLayoutVars>
          <dgm:chPref val="3"/>
        </dgm:presLayoutVars>
      </dgm:prSet>
      <dgm:spPr/>
    </dgm:pt>
    <dgm:pt modelId="{073745DA-316F-402F-8B22-8BD1C3E1E8B7}" type="pres">
      <dgm:prSet presAssocID="{8A8A2E82-CE31-4896-9590-C550DECD2B4A}" presName="level3hierChild" presStyleCnt="0"/>
      <dgm:spPr/>
    </dgm:pt>
    <dgm:pt modelId="{017145AD-A476-44E5-8370-CADF41C8679F}" type="pres">
      <dgm:prSet presAssocID="{2A19C6F9-761D-4673-9254-0E32DF8B907F}" presName="conn2-1" presStyleLbl="parChTrans1D3" presStyleIdx="0" presStyleCnt="4"/>
      <dgm:spPr/>
    </dgm:pt>
    <dgm:pt modelId="{491B2A0F-B3B2-4CF2-A95D-AF1A3D7D342E}" type="pres">
      <dgm:prSet presAssocID="{2A19C6F9-761D-4673-9254-0E32DF8B907F}" presName="connTx" presStyleLbl="parChTrans1D3" presStyleIdx="0" presStyleCnt="4"/>
      <dgm:spPr/>
    </dgm:pt>
    <dgm:pt modelId="{90325C10-CFFD-43B8-AEF0-6BEA15333FA2}" type="pres">
      <dgm:prSet presAssocID="{70D6B149-F471-49D1-B2D7-F03BC4E3A91F}" presName="root2" presStyleCnt="0"/>
      <dgm:spPr/>
    </dgm:pt>
    <dgm:pt modelId="{9C1FF67C-D8FC-4DF5-9128-EBCEFD9AD04E}" type="pres">
      <dgm:prSet presAssocID="{70D6B149-F471-49D1-B2D7-F03BC4E3A91F}" presName="LevelTwoTextNode" presStyleLbl="node3" presStyleIdx="0" presStyleCnt="4">
        <dgm:presLayoutVars>
          <dgm:chPref val="3"/>
        </dgm:presLayoutVars>
      </dgm:prSet>
      <dgm:spPr/>
    </dgm:pt>
    <dgm:pt modelId="{097CE151-6349-4ABE-80AA-D5139BB8E47B}" type="pres">
      <dgm:prSet presAssocID="{70D6B149-F471-49D1-B2D7-F03BC4E3A91F}" presName="level3hierChild" presStyleCnt="0"/>
      <dgm:spPr/>
    </dgm:pt>
    <dgm:pt modelId="{E834EAA9-7477-4F44-A2E1-50D13C19BC0A}" type="pres">
      <dgm:prSet presAssocID="{437C0206-945F-49D1-97D0-593F45D26CAE}" presName="conn2-1" presStyleLbl="parChTrans1D3" presStyleIdx="1" presStyleCnt="4"/>
      <dgm:spPr/>
    </dgm:pt>
    <dgm:pt modelId="{502BD970-D68B-46A1-888A-D382392A60FB}" type="pres">
      <dgm:prSet presAssocID="{437C0206-945F-49D1-97D0-593F45D26CAE}" presName="connTx" presStyleLbl="parChTrans1D3" presStyleIdx="1" presStyleCnt="4"/>
      <dgm:spPr/>
    </dgm:pt>
    <dgm:pt modelId="{30B5C33C-979C-496F-B906-891B6D57FDB8}" type="pres">
      <dgm:prSet presAssocID="{CB8648D0-B06B-4CC1-99F1-87E57644E307}" presName="root2" presStyleCnt="0"/>
      <dgm:spPr/>
    </dgm:pt>
    <dgm:pt modelId="{B3DE44A2-DB44-4AD5-8A6F-DE042C4DEA8A}" type="pres">
      <dgm:prSet presAssocID="{CB8648D0-B06B-4CC1-99F1-87E57644E307}" presName="LevelTwoTextNode" presStyleLbl="node3" presStyleIdx="1" presStyleCnt="4">
        <dgm:presLayoutVars>
          <dgm:chPref val="3"/>
        </dgm:presLayoutVars>
      </dgm:prSet>
      <dgm:spPr/>
    </dgm:pt>
    <dgm:pt modelId="{59865FF9-3F85-45BF-BE3B-C10D5A697525}" type="pres">
      <dgm:prSet presAssocID="{CB8648D0-B06B-4CC1-99F1-87E57644E307}" presName="level3hierChild" presStyleCnt="0"/>
      <dgm:spPr/>
    </dgm:pt>
    <dgm:pt modelId="{CDDC3580-0BA4-4A93-999E-DE3B6C157DEB}" type="pres">
      <dgm:prSet presAssocID="{116AFFF1-91AF-43BC-9281-C0CC0CA59405}" presName="conn2-1" presStyleLbl="parChTrans1D3" presStyleIdx="2" presStyleCnt="4"/>
      <dgm:spPr/>
    </dgm:pt>
    <dgm:pt modelId="{59EF56E9-E998-40B3-B0F1-522B5D7646E9}" type="pres">
      <dgm:prSet presAssocID="{116AFFF1-91AF-43BC-9281-C0CC0CA59405}" presName="connTx" presStyleLbl="parChTrans1D3" presStyleIdx="2" presStyleCnt="4"/>
      <dgm:spPr/>
    </dgm:pt>
    <dgm:pt modelId="{D3431E53-72BF-4640-BF31-6F3BCFD867CD}" type="pres">
      <dgm:prSet presAssocID="{5CCAED79-9396-4D37-9D86-AA2AF1AAF18B}" presName="root2" presStyleCnt="0"/>
      <dgm:spPr/>
    </dgm:pt>
    <dgm:pt modelId="{6D9ED6E7-26F0-4520-A568-965031B47CF2}" type="pres">
      <dgm:prSet presAssocID="{5CCAED79-9396-4D37-9D86-AA2AF1AAF18B}" presName="LevelTwoTextNode" presStyleLbl="node3" presStyleIdx="2" presStyleCnt="4">
        <dgm:presLayoutVars>
          <dgm:chPref val="3"/>
        </dgm:presLayoutVars>
      </dgm:prSet>
      <dgm:spPr/>
    </dgm:pt>
    <dgm:pt modelId="{82AD03CA-63E6-452D-BB84-6F99E72A8F75}" type="pres">
      <dgm:prSet presAssocID="{5CCAED79-9396-4D37-9D86-AA2AF1AAF18B}" presName="level3hierChild" presStyleCnt="0"/>
      <dgm:spPr/>
    </dgm:pt>
    <dgm:pt modelId="{C009C2C4-077E-40F7-BC48-A3348426760C}" type="pres">
      <dgm:prSet presAssocID="{D6D8F232-1727-41F8-9B37-C8D1450635A2}" presName="conn2-1" presStyleLbl="parChTrans1D3" presStyleIdx="3" presStyleCnt="4"/>
      <dgm:spPr/>
    </dgm:pt>
    <dgm:pt modelId="{F6046427-5868-4F5A-95D5-73893CAB9280}" type="pres">
      <dgm:prSet presAssocID="{D6D8F232-1727-41F8-9B37-C8D1450635A2}" presName="connTx" presStyleLbl="parChTrans1D3" presStyleIdx="3" presStyleCnt="4"/>
      <dgm:spPr/>
    </dgm:pt>
    <dgm:pt modelId="{77FCE385-A1FC-4288-8620-EDDB375B40C4}" type="pres">
      <dgm:prSet presAssocID="{4EC344C6-CB72-4E90-8B09-94E9C51E943B}" presName="root2" presStyleCnt="0"/>
      <dgm:spPr/>
    </dgm:pt>
    <dgm:pt modelId="{3081A6AC-4392-4F1A-B6E3-1F9FA80E8663}" type="pres">
      <dgm:prSet presAssocID="{4EC344C6-CB72-4E90-8B09-94E9C51E943B}" presName="LevelTwoTextNode" presStyleLbl="node3" presStyleIdx="3" presStyleCnt="4">
        <dgm:presLayoutVars>
          <dgm:chPref val="3"/>
        </dgm:presLayoutVars>
      </dgm:prSet>
      <dgm:spPr/>
    </dgm:pt>
    <dgm:pt modelId="{E80CA2F9-EEAC-4A51-A203-9DC9E0195DA6}" type="pres">
      <dgm:prSet presAssocID="{4EC344C6-CB72-4E90-8B09-94E9C51E943B}" presName="level3hierChild" presStyleCnt="0"/>
      <dgm:spPr/>
    </dgm:pt>
  </dgm:ptLst>
  <dgm:cxnLst>
    <dgm:cxn modelId="{F5A9F711-2DD4-41BE-B796-753016F80886}" type="presOf" srcId="{116AFFF1-91AF-43BC-9281-C0CC0CA59405}" destId="{59EF56E9-E998-40B3-B0F1-522B5D7646E9}" srcOrd="1" destOrd="0" presId="urn:microsoft.com/office/officeart/2005/8/layout/hierarchy2"/>
    <dgm:cxn modelId="{B0C68617-6962-47CC-9850-5F25A294BE3D}" type="presOf" srcId="{8A8A2E82-CE31-4896-9590-C550DECD2B4A}" destId="{7B150FFA-DFCC-44CA-B3E4-AF2042FFF47D}" srcOrd="0" destOrd="0" presId="urn:microsoft.com/office/officeart/2005/8/layout/hierarchy2"/>
    <dgm:cxn modelId="{57E19E1D-ADF5-4C0C-8A68-2A16C1DE915B}" type="presOf" srcId="{D6D8F232-1727-41F8-9B37-C8D1450635A2}" destId="{F6046427-5868-4F5A-95D5-73893CAB9280}" srcOrd="1" destOrd="0" presId="urn:microsoft.com/office/officeart/2005/8/layout/hierarchy2"/>
    <dgm:cxn modelId="{19B6C91D-8218-498C-B72F-ECC578BEC446}" type="presOf" srcId="{C3EB48D7-7398-4C08-A1D6-A26667119247}" destId="{3D4E0200-2677-49AB-A143-6075F889F17F}" srcOrd="0" destOrd="0" presId="urn:microsoft.com/office/officeart/2005/8/layout/hierarchy2"/>
    <dgm:cxn modelId="{A7349821-9912-4F2D-9391-AB3FE6FCC2D2}" type="presOf" srcId="{5CCAED79-9396-4D37-9D86-AA2AF1AAF18B}" destId="{6D9ED6E7-26F0-4520-A568-965031B47CF2}" srcOrd="0" destOrd="0" presId="urn:microsoft.com/office/officeart/2005/8/layout/hierarchy2"/>
    <dgm:cxn modelId="{62A7F524-C2CA-45FB-AA0F-5A792686F4C2}" srcId="{83291AA4-B187-441C-A81A-C14AACDEBECE}" destId="{C3EB48D7-7398-4C08-A1D6-A26667119247}" srcOrd="0" destOrd="0" parTransId="{05AD6450-D24A-4786-9ECE-A9680935FE91}" sibTransId="{AE586E1B-C750-45F1-8ACF-BFE4575A76CC}"/>
    <dgm:cxn modelId="{11FCE728-498E-4F48-9E48-92981C604899}" type="presOf" srcId="{2A19C6F9-761D-4673-9254-0E32DF8B907F}" destId="{017145AD-A476-44E5-8370-CADF41C8679F}" srcOrd="0" destOrd="0" presId="urn:microsoft.com/office/officeart/2005/8/layout/hierarchy2"/>
    <dgm:cxn modelId="{9B040C29-06B2-438E-A205-EE30C496980A}" srcId="{8A8A2E82-CE31-4896-9590-C550DECD2B4A}" destId="{5CCAED79-9396-4D37-9D86-AA2AF1AAF18B}" srcOrd="2" destOrd="0" parTransId="{116AFFF1-91AF-43BC-9281-C0CC0CA59405}" sibTransId="{9616C549-3CE2-44F9-A584-4E3165B937DC}"/>
    <dgm:cxn modelId="{967AE035-0C77-4C1D-A85F-67008714D8AB}" type="presOf" srcId="{116AFFF1-91AF-43BC-9281-C0CC0CA59405}" destId="{CDDC3580-0BA4-4A93-999E-DE3B6C157DEB}" srcOrd="0" destOrd="0" presId="urn:microsoft.com/office/officeart/2005/8/layout/hierarchy2"/>
    <dgm:cxn modelId="{085E7942-4975-4D18-A832-B40A336A64AF}" srcId="{C6C0724F-1606-4E40-99F1-817D950519F9}" destId="{83291AA4-B187-441C-A81A-C14AACDEBECE}" srcOrd="0" destOrd="0" parTransId="{FEA157D7-324E-40DF-A730-B9BBB46D6E63}" sibTransId="{A5BC3277-C745-463C-9CD8-E6917CAA6F8A}"/>
    <dgm:cxn modelId="{D8314466-696A-44E9-96B7-F6454C8B2C44}" srcId="{8A8A2E82-CE31-4896-9590-C550DECD2B4A}" destId="{70D6B149-F471-49D1-B2D7-F03BC4E3A91F}" srcOrd="0" destOrd="0" parTransId="{2A19C6F9-761D-4673-9254-0E32DF8B907F}" sibTransId="{87DFE0BC-88E4-429D-8538-8365CA30F254}"/>
    <dgm:cxn modelId="{FF47FC47-44C3-45BF-BC84-48F93E3A0BD7}" type="presOf" srcId="{05AD6450-D24A-4786-9ECE-A9680935FE91}" destId="{2CD28A2A-C8DD-4837-9253-06D8F4864C9B}" srcOrd="0" destOrd="0" presId="urn:microsoft.com/office/officeart/2005/8/layout/hierarchy2"/>
    <dgm:cxn modelId="{FF94A64A-0890-4A9E-A502-9BD8E02CC080}" srcId="{83291AA4-B187-441C-A81A-C14AACDEBECE}" destId="{8A8A2E82-CE31-4896-9590-C550DECD2B4A}" srcOrd="1" destOrd="0" parTransId="{A65101A9-6938-4E19-B244-3311BE83F6F9}" sibTransId="{2D35A945-551C-4ECF-9EA6-20B73DBAC16E}"/>
    <dgm:cxn modelId="{3AEE8D71-D965-4B5E-A22B-ED893A4C5E0E}" srcId="{8A8A2E82-CE31-4896-9590-C550DECD2B4A}" destId="{CB8648D0-B06B-4CC1-99F1-87E57644E307}" srcOrd="1" destOrd="0" parTransId="{437C0206-945F-49D1-97D0-593F45D26CAE}" sibTransId="{156F96EA-9D59-43C2-B338-E25E3119882F}"/>
    <dgm:cxn modelId="{E2E7C673-50B6-48D9-9F7B-8233E279D9A0}" type="presOf" srcId="{2A19C6F9-761D-4673-9254-0E32DF8B907F}" destId="{491B2A0F-B3B2-4CF2-A95D-AF1A3D7D342E}" srcOrd="1" destOrd="0" presId="urn:microsoft.com/office/officeart/2005/8/layout/hierarchy2"/>
    <dgm:cxn modelId="{55E2C974-9E1D-4306-9012-B84FF864DC3E}" type="presOf" srcId="{CB8648D0-B06B-4CC1-99F1-87E57644E307}" destId="{B3DE44A2-DB44-4AD5-8A6F-DE042C4DEA8A}" srcOrd="0" destOrd="0" presId="urn:microsoft.com/office/officeart/2005/8/layout/hierarchy2"/>
    <dgm:cxn modelId="{09FC895A-F82C-4419-AE5A-653DE7504BF8}" type="presOf" srcId="{437C0206-945F-49D1-97D0-593F45D26CAE}" destId="{E834EAA9-7477-4F44-A2E1-50D13C19BC0A}" srcOrd="0" destOrd="0" presId="urn:microsoft.com/office/officeart/2005/8/layout/hierarchy2"/>
    <dgm:cxn modelId="{34ECD580-7193-4621-948C-579634CAE1A9}" type="presOf" srcId="{D6D8F232-1727-41F8-9B37-C8D1450635A2}" destId="{C009C2C4-077E-40F7-BC48-A3348426760C}" srcOrd="0" destOrd="0" presId="urn:microsoft.com/office/officeart/2005/8/layout/hierarchy2"/>
    <dgm:cxn modelId="{A3D9BF90-F834-4E46-9132-CDD49338809E}" type="presOf" srcId="{C6C0724F-1606-4E40-99F1-817D950519F9}" destId="{B30493F6-40A3-4BC2-9A8C-52F5AA5886C1}" srcOrd="0" destOrd="0" presId="urn:microsoft.com/office/officeart/2005/8/layout/hierarchy2"/>
    <dgm:cxn modelId="{EF03BA93-786E-40ED-A7B5-132AAE6A327D}" srcId="{8A8A2E82-CE31-4896-9590-C550DECD2B4A}" destId="{4EC344C6-CB72-4E90-8B09-94E9C51E943B}" srcOrd="3" destOrd="0" parTransId="{D6D8F232-1727-41F8-9B37-C8D1450635A2}" sibTransId="{96BD6D9D-21B3-40ED-947B-8616AA28E53A}"/>
    <dgm:cxn modelId="{E7BB4994-87C5-4826-8F95-B82119134E0D}" type="presOf" srcId="{4EC344C6-CB72-4E90-8B09-94E9C51E943B}" destId="{3081A6AC-4392-4F1A-B6E3-1F9FA80E8663}" srcOrd="0" destOrd="0" presId="urn:microsoft.com/office/officeart/2005/8/layout/hierarchy2"/>
    <dgm:cxn modelId="{D032C89E-9139-4F38-847B-31130C17B21B}" type="presOf" srcId="{83291AA4-B187-441C-A81A-C14AACDEBECE}" destId="{C3355D9A-4944-4A26-B088-92F03F5E10D7}" srcOrd="0" destOrd="0" presId="urn:microsoft.com/office/officeart/2005/8/layout/hierarchy2"/>
    <dgm:cxn modelId="{941F4DA5-1CC4-45BD-ABBF-FC06AB94E6E9}" type="presOf" srcId="{A65101A9-6938-4E19-B244-3311BE83F6F9}" destId="{300C6EE2-3A1A-489C-981E-4ED6C00324BE}" srcOrd="0" destOrd="0" presId="urn:microsoft.com/office/officeart/2005/8/layout/hierarchy2"/>
    <dgm:cxn modelId="{19C897AF-EFAA-41F7-86B3-1CE7710EB082}" type="presOf" srcId="{A65101A9-6938-4E19-B244-3311BE83F6F9}" destId="{7EC60CDE-FF99-4ACC-A326-61485E2C4AE8}" srcOrd="1" destOrd="0" presId="urn:microsoft.com/office/officeart/2005/8/layout/hierarchy2"/>
    <dgm:cxn modelId="{F30591E6-DB7C-4D2B-A6DA-B1EF1D8597F6}" type="presOf" srcId="{437C0206-945F-49D1-97D0-593F45D26CAE}" destId="{502BD970-D68B-46A1-888A-D382392A60FB}" srcOrd="1" destOrd="0" presId="urn:microsoft.com/office/officeart/2005/8/layout/hierarchy2"/>
    <dgm:cxn modelId="{138B12F0-E5E0-437A-9472-D3DF6E2B0EB4}" type="presOf" srcId="{70D6B149-F471-49D1-B2D7-F03BC4E3A91F}" destId="{9C1FF67C-D8FC-4DF5-9128-EBCEFD9AD04E}" srcOrd="0" destOrd="0" presId="urn:microsoft.com/office/officeart/2005/8/layout/hierarchy2"/>
    <dgm:cxn modelId="{363ACEFA-525E-433E-9393-50233628AAD8}" type="presOf" srcId="{05AD6450-D24A-4786-9ECE-A9680935FE91}" destId="{26911766-EFBA-4DFA-8B61-566B04F51E04}" srcOrd="1" destOrd="0" presId="urn:microsoft.com/office/officeart/2005/8/layout/hierarchy2"/>
    <dgm:cxn modelId="{46E06981-19CF-46D9-9844-4A707E03DDC1}" type="presParOf" srcId="{B30493F6-40A3-4BC2-9A8C-52F5AA5886C1}" destId="{D6BA1CF8-4F29-4CDC-B76B-213A72B81BDC}" srcOrd="0" destOrd="0" presId="urn:microsoft.com/office/officeart/2005/8/layout/hierarchy2"/>
    <dgm:cxn modelId="{1A631B05-269E-4F9E-8E30-FD844B69D7DB}" type="presParOf" srcId="{D6BA1CF8-4F29-4CDC-B76B-213A72B81BDC}" destId="{C3355D9A-4944-4A26-B088-92F03F5E10D7}" srcOrd="0" destOrd="0" presId="urn:microsoft.com/office/officeart/2005/8/layout/hierarchy2"/>
    <dgm:cxn modelId="{9B83128F-22F8-4ADD-AFBA-282BCDE98F48}" type="presParOf" srcId="{D6BA1CF8-4F29-4CDC-B76B-213A72B81BDC}" destId="{115B25C9-E994-43F9-B750-B707FDF18BA8}" srcOrd="1" destOrd="0" presId="urn:microsoft.com/office/officeart/2005/8/layout/hierarchy2"/>
    <dgm:cxn modelId="{65A95E6D-ECD6-4515-9438-2A7B5653BD31}" type="presParOf" srcId="{115B25C9-E994-43F9-B750-B707FDF18BA8}" destId="{2CD28A2A-C8DD-4837-9253-06D8F4864C9B}" srcOrd="0" destOrd="0" presId="urn:microsoft.com/office/officeart/2005/8/layout/hierarchy2"/>
    <dgm:cxn modelId="{529C208E-F9BC-4527-B616-8062677D25C1}" type="presParOf" srcId="{2CD28A2A-C8DD-4837-9253-06D8F4864C9B}" destId="{26911766-EFBA-4DFA-8B61-566B04F51E04}" srcOrd="0" destOrd="0" presId="urn:microsoft.com/office/officeart/2005/8/layout/hierarchy2"/>
    <dgm:cxn modelId="{07741C80-6365-4AE3-8E7F-82DD087133A5}" type="presParOf" srcId="{115B25C9-E994-43F9-B750-B707FDF18BA8}" destId="{9A564295-7F15-42AD-9A15-1260918DD0E8}" srcOrd="1" destOrd="0" presId="urn:microsoft.com/office/officeart/2005/8/layout/hierarchy2"/>
    <dgm:cxn modelId="{7357FA4C-6AE8-4E9C-9083-72DF97E6BC61}" type="presParOf" srcId="{9A564295-7F15-42AD-9A15-1260918DD0E8}" destId="{3D4E0200-2677-49AB-A143-6075F889F17F}" srcOrd="0" destOrd="0" presId="urn:microsoft.com/office/officeart/2005/8/layout/hierarchy2"/>
    <dgm:cxn modelId="{8CED593F-7909-4944-9A07-5E3B6118CDF3}" type="presParOf" srcId="{9A564295-7F15-42AD-9A15-1260918DD0E8}" destId="{1F55800B-10B2-4F79-9791-8462A062AE48}" srcOrd="1" destOrd="0" presId="urn:microsoft.com/office/officeart/2005/8/layout/hierarchy2"/>
    <dgm:cxn modelId="{3B6F3517-EC0F-4886-9B35-BEFF9F0161C1}" type="presParOf" srcId="{115B25C9-E994-43F9-B750-B707FDF18BA8}" destId="{300C6EE2-3A1A-489C-981E-4ED6C00324BE}" srcOrd="2" destOrd="0" presId="urn:microsoft.com/office/officeart/2005/8/layout/hierarchy2"/>
    <dgm:cxn modelId="{84775E8B-1713-4678-82E3-3085BA480074}" type="presParOf" srcId="{300C6EE2-3A1A-489C-981E-4ED6C00324BE}" destId="{7EC60CDE-FF99-4ACC-A326-61485E2C4AE8}" srcOrd="0" destOrd="0" presId="urn:microsoft.com/office/officeart/2005/8/layout/hierarchy2"/>
    <dgm:cxn modelId="{1A20B002-D6BF-4C71-8CD4-588989CECC12}" type="presParOf" srcId="{115B25C9-E994-43F9-B750-B707FDF18BA8}" destId="{ACE45896-60D3-40F1-8817-BE2B6C651216}" srcOrd="3" destOrd="0" presId="urn:microsoft.com/office/officeart/2005/8/layout/hierarchy2"/>
    <dgm:cxn modelId="{E4ECCD0C-1AF7-4871-A09F-210A082C4D3F}" type="presParOf" srcId="{ACE45896-60D3-40F1-8817-BE2B6C651216}" destId="{7B150FFA-DFCC-44CA-B3E4-AF2042FFF47D}" srcOrd="0" destOrd="0" presId="urn:microsoft.com/office/officeart/2005/8/layout/hierarchy2"/>
    <dgm:cxn modelId="{8F818E7D-D012-47BB-88F9-935BD9759E7C}" type="presParOf" srcId="{ACE45896-60D3-40F1-8817-BE2B6C651216}" destId="{073745DA-316F-402F-8B22-8BD1C3E1E8B7}" srcOrd="1" destOrd="0" presId="urn:microsoft.com/office/officeart/2005/8/layout/hierarchy2"/>
    <dgm:cxn modelId="{B6BD8B19-56C3-46BB-883D-8A4DA63B00DC}" type="presParOf" srcId="{073745DA-316F-402F-8B22-8BD1C3E1E8B7}" destId="{017145AD-A476-44E5-8370-CADF41C8679F}" srcOrd="0" destOrd="0" presId="urn:microsoft.com/office/officeart/2005/8/layout/hierarchy2"/>
    <dgm:cxn modelId="{FE6A6C7C-DC4B-4934-8C54-8B3E723B1047}" type="presParOf" srcId="{017145AD-A476-44E5-8370-CADF41C8679F}" destId="{491B2A0F-B3B2-4CF2-A95D-AF1A3D7D342E}" srcOrd="0" destOrd="0" presId="urn:microsoft.com/office/officeart/2005/8/layout/hierarchy2"/>
    <dgm:cxn modelId="{9308802A-B5BB-450C-B21F-201F63C355F5}" type="presParOf" srcId="{073745DA-316F-402F-8B22-8BD1C3E1E8B7}" destId="{90325C10-CFFD-43B8-AEF0-6BEA15333FA2}" srcOrd="1" destOrd="0" presId="urn:microsoft.com/office/officeart/2005/8/layout/hierarchy2"/>
    <dgm:cxn modelId="{460E8B3F-AAA8-4288-B3DE-30831CA84594}" type="presParOf" srcId="{90325C10-CFFD-43B8-AEF0-6BEA15333FA2}" destId="{9C1FF67C-D8FC-4DF5-9128-EBCEFD9AD04E}" srcOrd="0" destOrd="0" presId="urn:microsoft.com/office/officeart/2005/8/layout/hierarchy2"/>
    <dgm:cxn modelId="{39EEF936-34EA-4406-8110-7052D0E83FBE}" type="presParOf" srcId="{90325C10-CFFD-43B8-AEF0-6BEA15333FA2}" destId="{097CE151-6349-4ABE-80AA-D5139BB8E47B}" srcOrd="1" destOrd="0" presId="urn:microsoft.com/office/officeart/2005/8/layout/hierarchy2"/>
    <dgm:cxn modelId="{F8DD7F43-C1ED-4867-9CCA-7F05F5E9CBA7}" type="presParOf" srcId="{073745DA-316F-402F-8B22-8BD1C3E1E8B7}" destId="{E834EAA9-7477-4F44-A2E1-50D13C19BC0A}" srcOrd="2" destOrd="0" presId="urn:microsoft.com/office/officeart/2005/8/layout/hierarchy2"/>
    <dgm:cxn modelId="{4500CE6E-484D-4354-9387-121BB568CD01}" type="presParOf" srcId="{E834EAA9-7477-4F44-A2E1-50D13C19BC0A}" destId="{502BD970-D68B-46A1-888A-D382392A60FB}" srcOrd="0" destOrd="0" presId="urn:microsoft.com/office/officeart/2005/8/layout/hierarchy2"/>
    <dgm:cxn modelId="{CB15514A-D064-40DD-9DFF-F8A8D43E068C}" type="presParOf" srcId="{073745DA-316F-402F-8B22-8BD1C3E1E8B7}" destId="{30B5C33C-979C-496F-B906-891B6D57FDB8}" srcOrd="3" destOrd="0" presId="urn:microsoft.com/office/officeart/2005/8/layout/hierarchy2"/>
    <dgm:cxn modelId="{A9655A32-9A40-492C-9750-8862A4F15A08}" type="presParOf" srcId="{30B5C33C-979C-496F-B906-891B6D57FDB8}" destId="{B3DE44A2-DB44-4AD5-8A6F-DE042C4DEA8A}" srcOrd="0" destOrd="0" presId="urn:microsoft.com/office/officeart/2005/8/layout/hierarchy2"/>
    <dgm:cxn modelId="{35E6AB45-AC31-4135-BF96-E8B514823AB1}" type="presParOf" srcId="{30B5C33C-979C-496F-B906-891B6D57FDB8}" destId="{59865FF9-3F85-45BF-BE3B-C10D5A697525}" srcOrd="1" destOrd="0" presId="urn:microsoft.com/office/officeart/2005/8/layout/hierarchy2"/>
    <dgm:cxn modelId="{C2DCEC2A-D36C-4069-BDFB-33528D601BB2}" type="presParOf" srcId="{073745DA-316F-402F-8B22-8BD1C3E1E8B7}" destId="{CDDC3580-0BA4-4A93-999E-DE3B6C157DEB}" srcOrd="4" destOrd="0" presId="urn:microsoft.com/office/officeart/2005/8/layout/hierarchy2"/>
    <dgm:cxn modelId="{607A10D2-7A26-4DAF-95C7-C178436C9056}" type="presParOf" srcId="{CDDC3580-0BA4-4A93-999E-DE3B6C157DEB}" destId="{59EF56E9-E998-40B3-B0F1-522B5D7646E9}" srcOrd="0" destOrd="0" presId="urn:microsoft.com/office/officeart/2005/8/layout/hierarchy2"/>
    <dgm:cxn modelId="{1BE8DA6D-FE6E-4B68-8AA6-D548219DE2AF}" type="presParOf" srcId="{073745DA-316F-402F-8B22-8BD1C3E1E8B7}" destId="{D3431E53-72BF-4640-BF31-6F3BCFD867CD}" srcOrd="5" destOrd="0" presId="urn:microsoft.com/office/officeart/2005/8/layout/hierarchy2"/>
    <dgm:cxn modelId="{AB42A657-DE64-457C-B5B0-B747CCD5EA39}" type="presParOf" srcId="{D3431E53-72BF-4640-BF31-6F3BCFD867CD}" destId="{6D9ED6E7-26F0-4520-A568-965031B47CF2}" srcOrd="0" destOrd="0" presId="urn:microsoft.com/office/officeart/2005/8/layout/hierarchy2"/>
    <dgm:cxn modelId="{9FDC2C29-79CE-409C-923B-A72AE2E4A025}" type="presParOf" srcId="{D3431E53-72BF-4640-BF31-6F3BCFD867CD}" destId="{82AD03CA-63E6-452D-BB84-6F99E72A8F75}" srcOrd="1" destOrd="0" presId="urn:microsoft.com/office/officeart/2005/8/layout/hierarchy2"/>
    <dgm:cxn modelId="{D958EF70-B655-4233-8EFF-21DA5C125E6C}" type="presParOf" srcId="{073745DA-316F-402F-8B22-8BD1C3E1E8B7}" destId="{C009C2C4-077E-40F7-BC48-A3348426760C}" srcOrd="6" destOrd="0" presId="urn:microsoft.com/office/officeart/2005/8/layout/hierarchy2"/>
    <dgm:cxn modelId="{545E0395-B16B-4833-9D43-BA6DCAD6F2BF}" type="presParOf" srcId="{C009C2C4-077E-40F7-BC48-A3348426760C}" destId="{F6046427-5868-4F5A-95D5-73893CAB9280}" srcOrd="0" destOrd="0" presId="urn:microsoft.com/office/officeart/2005/8/layout/hierarchy2"/>
    <dgm:cxn modelId="{D6CA748B-5C40-4E86-A7E2-FAD1CDB11490}" type="presParOf" srcId="{073745DA-316F-402F-8B22-8BD1C3E1E8B7}" destId="{77FCE385-A1FC-4288-8620-EDDB375B40C4}" srcOrd="7" destOrd="0" presId="urn:microsoft.com/office/officeart/2005/8/layout/hierarchy2"/>
    <dgm:cxn modelId="{B4C72244-776D-4774-8A6B-0A20ED00E179}" type="presParOf" srcId="{77FCE385-A1FC-4288-8620-EDDB375B40C4}" destId="{3081A6AC-4392-4F1A-B6E3-1F9FA80E8663}" srcOrd="0" destOrd="0" presId="urn:microsoft.com/office/officeart/2005/8/layout/hierarchy2"/>
    <dgm:cxn modelId="{F0DA29B5-AB91-4386-8952-9A47B4796F71}" type="presParOf" srcId="{77FCE385-A1FC-4288-8620-EDDB375B40C4}" destId="{E80CA2F9-EEAC-4A51-A203-9DC9E0195DA6}"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355D9A-4944-4A26-B088-92F03F5E10D7}">
      <dsp:nvSpPr>
        <dsp:cNvPr id="0" name=""/>
        <dsp:cNvSpPr/>
      </dsp:nvSpPr>
      <dsp:spPr>
        <a:xfrm>
          <a:off x="454688" y="499915"/>
          <a:ext cx="868598" cy="434299"/>
        </a:xfrm>
        <a:prstGeom prst="roundRect">
          <a:avLst>
            <a:gd name="adj" fmla="val 10000"/>
          </a:avLst>
        </a:prstGeom>
        <a:solidFill>
          <a:schemeClr val="accent1">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Veřejná podpora</a:t>
          </a:r>
        </a:p>
      </dsp:txBody>
      <dsp:txXfrm>
        <a:off x="467408" y="512635"/>
        <a:ext cx="843158" cy="408859"/>
      </dsp:txXfrm>
    </dsp:sp>
    <dsp:sp modelId="{2CD28A2A-C8DD-4837-9253-06D8F4864C9B}">
      <dsp:nvSpPr>
        <dsp:cNvPr id="0" name=""/>
        <dsp:cNvSpPr/>
      </dsp:nvSpPr>
      <dsp:spPr>
        <a:xfrm rot="19457599">
          <a:off x="1283069" y="571989"/>
          <a:ext cx="427872" cy="40429"/>
        </a:xfrm>
        <a:custGeom>
          <a:avLst/>
          <a:gdLst/>
          <a:ahLst/>
          <a:cxnLst/>
          <a:rect l="0" t="0" r="0" b="0"/>
          <a:pathLst>
            <a:path>
              <a:moveTo>
                <a:pt x="0" y="20214"/>
              </a:moveTo>
              <a:lnTo>
                <a:pt x="427872" y="20214"/>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1486309" y="581507"/>
        <a:ext cx="21393" cy="21393"/>
      </dsp:txXfrm>
    </dsp:sp>
    <dsp:sp modelId="{3D4E0200-2677-49AB-A143-6075F889F17F}">
      <dsp:nvSpPr>
        <dsp:cNvPr id="0" name=""/>
        <dsp:cNvSpPr/>
      </dsp:nvSpPr>
      <dsp:spPr>
        <a:xfrm>
          <a:off x="1670725" y="250194"/>
          <a:ext cx="868598" cy="43429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NE</a:t>
          </a:r>
        </a:p>
      </dsp:txBody>
      <dsp:txXfrm>
        <a:off x="1683445" y="262914"/>
        <a:ext cx="843158" cy="408859"/>
      </dsp:txXfrm>
    </dsp:sp>
    <dsp:sp modelId="{300C6EE2-3A1A-489C-981E-4ED6C00324BE}">
      <dsp:nvSpPr>
        <dsp:cNvPr id="0" name=""/>
        <dsp:cNvSpPr/>
      </dsp:nvSpPr>
      <dsp:spPr>
        <a:xfrm rot="2142401">
          <a:off x="1283069" y="821711"/>
          <a:ext cx="427872" cy="40429"/>
        </a:xfrm>
        <a:custGeom>
          <a:avLst/>
          <a:gdLst/>
          <a:ahLst/>
          <a:cxnLst/>
          <a:rect l="0" t="0" r="0" b="0"/>
          <a:pathLst>
            <a:path>
              <a:moveTo>
                <a:pt x="0" y="20214"/>
              </a:moveTo>
              <a:lnTo>
                <a:pt x="427872" y="20214"/>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1486309" y="831229"/>
        <a:ext cx="21393" cy="21393"/>
      </dsp:txXfrm>
    </dsp:sp>
    <dsp:sp modelId="{7B150FFA-DFCC-44CA-B3E4-AF2042FFF47D}">
      <dsp:nvSpPr>
        <dsp:cNvPr id="0" name=""/>
        <dsp:cNvSpPr/>
      </dsp:nvSpPr>
      <dsp:spPr>
        <a:xfrm>
          <a:off x="1670725" y="749637"/>
          <a:ext cx="868598" cy="434299"/>
        </a:xfrm>
        <a:prstGeom prst="roundRect">
          <a:avLst>
            <a:gd name="adj" fmla="val 10000"/>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ANO</a:t>
          </a:r>
        </a:p>
      </dsp:txBody>
      <dsp:txXfrm>
        <a:off x="1683445" y="762357"/>
        <a:ext cx="843158" cy="408859"/>
      </dsp:txXfrm>
    </dsp:sp>
    <dsp:sp modelId="{017145AD-A476-44E5-8370-CADF41C8679F}">
      <dsp:nvSpPr>
        <dsp:cNvPr id="0" name=""/>
        <dsp:cNvSpPr/>
      </dsp:nvSpPr>
      <dsp:spPr>
        <a:xfrm rot="17692822">
          <a:off x="2300138" y="571989"/>
          <a:ext cx="825810" cy="40429"/>
        </a:xfrm>
        <a:custGeom>
          <a:avLst/>
          <a:gdLst/>
          <a:ahLst/>
          <a:cxnLst/>
          <a:rect l="0" t="0" r="0" b="0"/>
          <a:pathLst>
            <a:path>
              <a:moveTo>
                <a:pt x="0" y="20214"/>
              </a:moveTo>
              <a:lnTo>
                <a:pt x="825810" y="20214"/>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692398" y="571559"/>
        <a:ext cx="41290" cy="41290"/>
      </dsp:txXfrm>
    </dsp:sp>
    <dsp:sp modelId="{9C1FF67C-D8FC-4DF5-9128-EBCEFD9AD04E}">
      <dsp:nvSpPr>
        <dsp:cNvPr id="0" name=""/>
        <dsp:cNvSpPr/>
      </dsp:nvSpPr>
      <dsp:spPr>
        <a:xfrm>
          <a:off x="2886763" y="472"/>
          <a:ext cx="868598" cy="434299"/>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De minimis</a:t>
          </a:r>
        </a:p>
      </dsp:txBody>
      <dsp:txXfrm>
        <a:off x="2899483" y="13192"/>
        <a:ext cx="843158" cy="408859"/>
      </dsp:txXfrm>
    </dsp:sp>
    <dsp:sp modelId="{E834EAA9-7477-4F44-A2E1-50D13C19BC0A}">
      <dsp:nvSpPr>
        <dsp:cNvPr id="0" name=""/>
        <dsp:cNvSpPr/>
      </dsp:nvSpPr>
      <dsp:spPr>
        <a:xfrm rot="19457599">
          <a:off x="2499107" y="821711"/>
          <a:ext cx="427872" cy="40429"/>
        </a:xfrm>
        <a:custGeom>
          <a:avLst/>
          <a:gdLst/>
          <a:ahLst/>
          <a:cxnLst/>
          <a:rect l="0" t="0" r="0" b="0"/>
          <a:pathLst>
            <a:path>
              <a:moveTo>
                <a:pt x="0" y="20214"/>
              </a:moveTo>
              <a:lnTo>
                <a:pt x="427872" y="20214"/>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702346" y="831229"/>
        <a:ext cx="21393" cy="21393"/>
      </dsp:txXfrm>
    </dsp:sp>
    <dsp:sp modelId="{B3DE44A2-DB44-4AD5-8A6F-DE042C4DEA8A}">
      <dsp:nvSpPr>
        <dsp:cNvPr id="0" name=""/>
        <dsp:cNvSpPr/>
      </dsp:nvSpPr>
      <dsp:spPr>
        <a:xfrm>
          <a:off x="2886763" y="499915"/>
          <a:ext cx="868598" cy="434299"/>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De minimis SOHZ</a:t>
          </a:r>
        </a:p>
      </dsp:txBody>
      <dsp:txXfrm>
        <a:off x="2899483" y="512635"/>
        <a:ext cx="843158" cy="408859"/>
      </dsp:txXfrm>
    </dsp:sp>
    <dsp:sp modelId="{CDDC3580-0BA4-4A93-999E-DE3B6C157DEB}">
      <dsp:nvSpPr>
        <dsp:cNvPr id="0" name=""/>
        <dsp:cNvSpPr/>
      </dsp:nvSpPr>
      <dsp:spPr>
        <a:xfrm rot="2142401">
          <a:off x="2499107" y="1071433"/>
          <a:ext cx="427872" cy="40429"/>
        </a:xfrm>
        <a:custGeom>
          <a:avLst/>
          <a:gdLst/>
          <a:ahLst/>
          <a:cxnLst/>
          <a:rect l="0" t="0" r="0" b="0"/>
          <a:pathLst>
            <a:path>
              <a:moveTo>
                <a:pt x="0" y="20214"/>
              </a:moveTo>
              <a:lnTo>
                <a:pt x="427872" y="20214"/>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702346" y="1080951"/>
        <a:ext cx="21393" cy="21393"/>
      </dsp:txXfrm>
    </dsp:sp>
    <dsp:sp modelId="{6D9ED6E7-26F0-4520-A568-965031B47CF2}">
      <dsp:nvSpPr>
        <dsp:cNvPr id="0" name=""/>
        <dsp:cNvSpPr/>
      </dsp:nvSpPr>
      <dsp:spPr>
        <a:xfrm>
          <a:off x="2886763" y="999359"/>
          <a:ext cx="868598" cy="434299"/>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GBER</a:t>
          </a:r>
        </a:p>
      </dsp:txBody>
      <dsp:txXfrm>
        <a:off x="2899483" y="1012079"/>
        <a:ext cx="843158" cy="408859"/>
      </dsp:txXfrm>
    </dsp:sp>
    <dsp:sp modelId="{C009C2C4-077E-40F7-BC48-A3348426760C}">
      <dsp:nvSpPr>
        <dsp:cNvPr id="0" name=""/>
        <dsp:cNvSpPr/>
      </dsp:nvSpPr>
      <dsp:spPr>
        <a:xfrm rot="3907178">
          <a:off x="2300138" y="1321155"/>
          <a:ext cx="825810" cy="40429"/>
        </a:xfrm>
        <a:custGeom>
          <a:avLst/>
          <a:gdLst/>
          <a:ahLst/>
          <a:cxnLst/>
          <a:rect l="0" t="0" r="0" b="0"/>
          <a:pathLst>
            <a:path>
              <a:moveTo>
                <a:pt x="0" y="20214"/>
              </a:moveTo>
              <a:lnTo>
                <a:pt x="825810" y="20214"/>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692398" y="1320725"/>
        <a:ext cx="41290" cy="41290"/>
      </dsp:txXfrm>
    </dsp:sp>
    <dsp:sp modelId="{3081A6AC-4392-4F1A-B6E3-1F9FA80E8663}">
      <dsp:nvSpPr>
        <dsp:cNvPr id="0" name=""/>
        <dsp:cNvSpPr/>
      </dsp:nvSpPr>
      <dsp:spPr>
        <a:xfrm>
          <a:off x="2886763" y="1498803"/>
          <a:ext cx="868598" cy="434299"/>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SOHZ</a:t>
          </a:r>
        </a:p>
      </dsp:txBody>
      <dsp:txXfrm>
        <a:off x="2899483" y="1511523"/>
        <a:ext cx="843158" cy="4088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Props1.xml><?xml version="1.0" encoding="utf-8"?>
<ds:datastoreItem xmlns:ds="http://schemas.openxmlformats.org/officeDocument/2006/customXml" ds:itemID="{5737A73B-5AD9-4992-A7A3-54D38D31DACF}">
  <ds:schemaRefs>
    <ds:schemaRef ds:uri="http://schemas.openxmlformats.org/officeDocument/2006/bibliography"/>
  </ds:schemaRefs>
</ds:datastoreItem>
</file>

<file path=customXml/itemProps2.xml><?xml version="1.0" encoding="utf-8"?>
<ds:datastoreItem xmlns:ds="http://schemas.openxmlformats.org/officeDocument/2006/customXml" ds:itemID="{8C71AB48-0E33-491C-8BBF-B467C6EBA056}">
  <ds:schemaRefs>
    <ds:schemaRef ds:uri="http://schemas.microsoft.com/sharepoint/v3/contenttype/forms"/>
  </ds:schemaRefs>
</ds:datastoreItem>
</file>

<file path=customXml/itemProps3.xml><?xml version="1.0" encoding="utf-8"?>
<ds:datastoreItem xmlns:ds="http://schemas.openxmlformats.org/officeDocument/2006/customXml" ds:itemID="{0F6C55DB-2FB3-483F-8CBE-75E9E3C47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A3FD9F-2180-4B6F-9637-D459097A8A2F}">
  <ds:schemaRefs>
    <ds:schemaRef ds:uri="http://schemas.microsoft.com/office/2006/metadata/properties"/>
    <ds:schemaRef ds:uri="http://schemas.microsoft.com/office/infopath/2007/PartnerControls"/>
    <ds:schemaRef ds:uri="467750d2-41eb-48ec-80e7-ec7951f9ba3d"/>
    <ds:schemaRef ds:uri="19ef65a2-88e9-475f-bf96-61b671500c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3797</Words>
  <Characters>22409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Tomášek</dc:creator>
  <cp:keywords/>
  <cp:lastModifiedBy>Janská Kvetoslava</cp:lastModifiedBy>
  <cp:revision>3</cp:revision>
  <cp:lastPrinted>2024-01-13T15:44:00Z</cp:lastPrinted>
  <dcterms:created xsi:type="dcterms:W3CDTF">2024-02-06T12:58:00Z</dcterms:created>
  <dcterms:modified xsi:type="dcterms:W3CDTF">2024-02-06T16:06:00Z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